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7EE692C4" w:rsidR="00DF0362" w:rsidRPr="00474A59" w:rsidRDefault="00B83DEB" w:rsidP="00DF0362">
      <w:pPr>
        <w:wordWrap/>
        <w:spacing w:line="240" w:lineRule="atLeast"/>
        <w:rPr>
          <w:rFonts w:ascii="Arial" w:hAnsi="Arial" w:cs="Arial"/>
          <w:b/>
          <w:bCs/>
          <w:snapToGrid w:val="0"/>
          <w:sz w:val="24"/>
          <w:lang w:val="en-GB"/>
        </w:rPr>
      </w:pPr>
      <w:bookmarkStart w:id="0" w:name="OLE_LINK1"/>
      <w:bookmarkStart w:id="1" w:name="OLE_LINK2"/>
      <w:r w:rsidRPr="00474A59">
        <w:rPr>
          <w:rFonts w:ascii="Arial" w:hAnsi="Arial" w:cs="Arial"/>
          <w:b/>
          <w:bCs/>
          <w:snapToGrid w:val="0"/>
          <w:sz w:val="24"/>
          <w:lang w:val="en-GB"/>
        </w:rPr>
        <w:t>3GPP TSG RAN WG1 #</w:t>
      </w:r>
      <w:r w:rsidR="00DB3FAB" w:rsidRPr="00474A59">
        <w:rPr>
          <w:rFonts w:ascii="Arial" w:hAnsi="Arial" w:cs="Arial"/>
          <w:b/>
          <w:bCs/>
          <w:snapToGrid w:val="0"/>
          <w:sz w:val="24"/>
          <w:lang w:val="en-GB"/>
        </w:rPr>
        <w:t>10</w:t>
      </w:r>
      <w:r w:rsidR="00474A59">
        <w:rPr>
          <w:rFonts w:ascii="Arial" w:hAnsi="Arial" w:cs="Arial"/>
          <w:b/>
          <w:bCs/>
          <w:snapToGrid w:val="0"/>
          <w:sz w:val="24"/>
          <w:lang w:val="en-GB"/>
        </w:rPr>
        <w:t>8</w:t>
      </w:r>
      <w:r w:rsidR="0067729B" w:rsidRPr="00474A59">
        <w:rPr>
          <w:rFonts w:ascii="Arial" w:hAnsi="Arial" w:cs="Arial"/>
          <w:b/>
          <w:bCs/>
          <w:snapToGrid w:val="0"/>
          <w:sz w:val="24"/>
          <w:lang w:val="en-GB"/>
        </w:rPr>
        <w:t>-e</w:t>
      </w:r>
      <w:r w:rsidR="004E4867" w:rsidRPr="00474A59">
        <w:rPr>
          <w:rFonts w:ascii="Arial" w:hAnsi="Arial" w:cs="Arial"/>
          <w:b/>
          <w:bCs/>
          <w:snapToGrid w:val="0"/>
          <w:sz w:val="24"/>
          <w:lang w:val="en-GB"/>
        </w:rPr>
        <w:t xml:space="preserve">   </w:t>
      </w:r>
      <w:r w:rsidR="004E4867" w:rsidRPr="00474A59">
        <w:rPr>
          <w:rFonts w:ascii="Arial" w:hAnsi="Arial" w:cs="Arial"/>
          <w:b/>
          <w:bCs/>
          <w:snapToGrid w:val="0"/>
          <w:sz w:val="24"/>
          <w:lang w:val="en-GB"/>
        </w:rPr>
        <w:tab/>
        <w:t xml:space="preserve"> </w:t>
      </w:r>
      <w:r w:rsidRPr="00474A59">
        <w:rPr>
          <w:rFonts w:ascii="Arial" w:hAnsi="Arial" w:cs="Arial"/>
          <w:b/>
          <w:bCs/>
          <w:snapToGrid w:val="0"/>
          <w:sz w:val="24"/>
          <w:lang w:val="en-GB"/>
        </w:rPr>
        <w:tab/>
        <w:t xml:space="preserve">  </w:t>
      </w:r>
      <w:r w:rsidRPr="00474A59">
        <w:rPr>
          <w:rFonts w:ascii="Arial" w:hAnsi="Arial" w:cs="Arial"/>
          <w:b/>
          <w:bCs/>
          <w:snapToGrid w:val="0"/>
          <w:sz w:val="24"/>
          <w:lang w:val="en-GB"/>
        </w:rPr>
        <w:tab/>
      </w:r>
      <w:r w:rsidR="00467903" w:rsidRPr="00474A59">
        <w:rPr>
          <w:rFonts w:ascii="Arial" w:hAnsi="Arial" w:cs="Arial"/>
          <w:b/>
          <w:bCs/>
          <w:snapToGrid w:val="0"/>
          <w:sz w:val="24"/>
          <w:lang w:val="en-GB"/>
        </w:rPr>
        <w:t xml:space="preserve"> </w:t>
      </w:r>
      <w:r w:rsidR="00DC42D6" w:rsidRPr="00474A59">
        <w:rPr>
          <w:rFonts w:ascii="Arial" w:hAnsi="Arial" w:cs="Arial"/>
          <w:b/>
          <w:bCs/>
          <w:snapToGrid w:val="0"/>
          <w:sz w:val="24"/>
          <w:lang w:val="en-GB"/>
        </w:rPr>
        <w:t xml:space="preserve">      </w:t>
      </w:r>
      <w:r w:rsidR="00DF0362" w:rsidRPr="00474A59">
        <w:rPr>
          <w:rFonts w:ascii="Arial" w:hAnsi="Arial" w:cs="Arial"/>
          <w:b/>
          <w:bCs/>
          <w:snapToGrid w:val="0"/>
          <w:sz w:val="24"/>
          <w:lang w:val="en-GB"/>
        </w:rPr>
        <w:t xml:space="preserve"> </w:t>
      </w:r>
      <w:r w:rsidR="00513153" w:rsidRPr="00474A59">
        <w:rPr>
          <w:rFonts w:ascii="Arial" w:hAnsi="Arial" w:cs="Arial"/>
          <w:b/>
          <w:bCs/>
          <w:snapToGrid w:val="0"/>
          <w:sz w:val="24"/>
          <w:lang w:val="en-GB"/>
        </w:rPr>
        <w:t xml:space="preserve">       </w:t>
      </w:r>
      <w:r w:rsidR="00DF0362" w:rsidRPr="00474A59">
        <w:rPr>
          <w:rFonts w:ascii="Arial" w:hAnsi="Arial" w:cs="Arial"/>
          <w:b/>
          <w:bCs/>
          <w:snapToGrid w:val="0"/>
          <w:sz w:val="24"/>
          <w:lang w:val="en-GB"/>
        </w:rPr>
        <w:t xml:space="preserve">  R1-</w:t>
      </w:r>
      <w:r w:rsidR="00F14D30" w:rsidRPr="00474A59">
        <w:rPr>
          <w:rFonts w:ascii="Arial" w:hAnsi="Arial" w:cs="Arial"/>
          <w:b/>
          <w:bCs/>
          <w:snapToGrid w:val="0"/>
          <w:sz w:val="24"/>
          <w:lang w:val="en-GB"/>
        </w:rPr>
        <w:t>2</w:t>
      </w:r>
      <w:r w:rsidR="00474A59">
        <w:rPr>
          <w:rFonts w:ascii="Arial" w:hAnsi="Arial" w:cs="Arial"/>
          <w:b/>
          <w:bCs/>
          <w:snapToGrid w:val="0"/>
          <w:sz w:val="24"/>
          <w:lang w:val="en-GB"/>
        </w:rPr>
        <w:t>201567</w:t>
      </w:r>
    </w:p>
    <w:p w14:paraId="1AB33F1B" w14:textId="34118F46" w:rsidR="00B83DEB" w:rsidRPr="00474A59" w:rsidRDefault="004D16F8" w:rsidP="00B83DEB">
      <w:pPr>
        <w:pBdr>
          <w:bottom w:val="single" w:sz="12" w:space="1" w:color="auto"/>
        </w:pBdr>
        <w:wordWrap/>
        <w:spacing w:line="240" w:lineRule="atLeast"/>
        <w:rPr>
          <w:rFonts w:ascii="Arial" w:hAnsi="Arial" w:cs="Arial"/>
          <w:b/>
          <w:bCs/>
          <w:snapToGrid w:val="0"/>
          <w:sz w:val="24"/>
          <w:lang w:val="en-GB"/>
        </w:rPr>
      </w:pPr>
      <w:r w:rsidRPr="00474A59">
        <w:rPr>
          <w:rFonts w:ascii="Arial" w:hAnsi="Arial" w:cs="Arial" w:hint="eastAsia"/>
          <w:b/>
          <w:bCs/>
          <w:snapToGrid w:val="0"/>
          <w:sz w:val="24"/>
          <w:lang w:val="en-GB"/>
        </w:rPr>
        <w:t>e-Meeting</w:t>
      </w:r>
      <w:r w:rsidR="00B83DEB" w:rsidRPr="00474A59">
        <w:rPr>
          <w:rFonts w:ascii="Arial" w:hAnsi="Arial" w:cs="Arial"/>
          <w:b/>
          <w:bCs/>
          <w:snapToGrid w:val="0"/>
          <w:sz w:val="24"/>
          <w:lang w:val="en-GB"/>
        </w:rPr>
        <w:t>,</w:t>
      </w:r>
      <w:r w:rsidRPr="00474A59">
        <w:rPr>
          <w:rFonts w:ascii="Arial" w:hAnsi="Arial" w:cs="Arial"/>
          <w:b/>
          <w:bCs/>
          <w:snapToGrid w:val="0"/>
          <w:sz w:val="24"/>
          <w:lang w:val="en-GB"/>
        </w:rPr>
        <w:t xml:space="preserve"> </w:t>
      </w:r>
      <w:r w:rsidR="00474A59">
        <w:rPr>
          <w:rFonts w:ascii="Arial" w:hAnsi="Arial" w:cs="Arial"/>
          <w:b/>
          <w:bCs/>
          <w:snapToGrid w:val="0"/>
          <w:sz w:val="24"/>
          <w:lang w:val="en-GB"/>
        </w:rPr>
        <w:t>February</w:t>
      </w:r>
      <w:r w:rsidR="00DB3FAB" w:rsidRPr="00474A59">
        <w:rPr>
          <w:rFonts w:ascii="Arial" w:hAnsi="Arial" w:cs="Arial"/>
          <w:b/>
          <w:bCs/>
          <w:snapToGrid w:val="0"/>
          <w:sz w:val="24"/>
          <w:lang w:val="en-GB"/>
        </w:rPr>
        <w:t xml:space="preserve"> </w:t>
      </w:r>
      <w:r w:rsidR="00474A59">
        <w:rPr>
          <w:rFonts w:ascii="Arial" w:hAnsi="Arial" w:cs="Arial"/>
          <w:b/>
          <w:bCs/>
          <w:snapToGrid w:val="0"/>
          <w:sz w:val="24"/>
          <w:lang w:val="en-GB"/>
        </w:rPr>
        <w:t>21</w:t>
      </w:r>
      <w:r w:rsidR="00474A59" w:rsidRPr="00474A59">
        <w:rPr>
          <w:rFonts w:ascii="Arial" w:hAnsi="Arial" w:cs="Arial"/>
          <w:b/>
          <w:bCs/>
          <w:snapToGrid w:val="0"/>
          <w:sz w:val="24"/>
          <w:vertAlign w:val="superscript"/>
          <w:lang w:val="en-GB"/>
        </w:rPr>
        <w:t>st</w:t>
      </w:r>
      <w:r w:rsidR="00474A59">
        <w:rPr>
          <w:rFonts w:ascii="Arial" w:hAnsi="Arial" w:cs="Arial"/>
          <w:b/>
          <w:bCs/>
          <w:snapToGrid w:val="0"/>
          <w:sz w:val="24"/>
          <w:lang w:val="en-GB"/>
        </w:rPr>
        <w:t xml:space="preserve"> </w:t>
      </w:r>
      <w:r w:rsidR="00016147" w:rsidRPr="00474A59">
        <w:rPr>
          <w:rFonts w:ascii="Arial" w:hAnsi="Arial" w:cs="Arial"/>
          <w:b/>
          <w:bCs/>
          <w:snapToGrid w:val="0"/>
          <w:sz w:val="24"/>
          <w:lang w:val="en-GB"/>
        </w:rPr>
        <w:t>–</w:t>
      </w:r>
      <w:r w:rsidR="006B40AE" w:rsidRPr="00474A59">
        <w:rPr>
          <w:rFonts w:ascii="Arial" w:hAnsi="Arial" w:cs="Arial"/>
          <w:b/>
          <w:bCs/>
          <w:snapToGrid w:val="0"/>
          <w:sz w:val="24"/>
          <w:lang w:val="en-GB"/>
        </w:rPr>
        <w:t xml:space="preserve"> </w:t>
      </w:r>
      <w:r w:rsidR="00474A59">
        <w:rPr>
          <w:rFonts w:ascii="Arial" w:hAnsi="Arial" w:cs="Arial"/>
          <w:b/>
          <w:bCs/>
          <w:snapToGrid w:val="0"/>
          <w:sz w:val="24"/>
          <w:lang w:val="en-GB"/>
        </w:rPr>
        <w:t>March 3</w:t>
      </w:r>
      <w:r w:rsidR="00474A59" w:rsidRPr="00474A59">
        <w:rPr>
          <w:rFonts w:ascii="Arial" w:hAnsi="Arial" w:cs="Arial"/>
          <w:b/>
          <w:bCs/>
          <w:snapToGrid w:val="0"/>
          <w:sz w:val="24"/>
          <w:vertAlign w:val="superscript"/>
          <w:lang w:val="en-GB"/>
        </w:rPr>
        <w:t>rd</w:t>
      </w:r>
      <w:r w:rsidRPr="00474A59">
        <w:rPr>
          <w:rFonts w:ascii="Arial" w:hAnsi="Arial" w:cs="Arial"/>
          <w:b/>
          <w:bCs/>
          <w:snapToGrid w:val="0"/>
          <w:sz w:val="24"/>
          <w:lang w:val="en-GB"/>
        </w:rPr>
        <w:t>,</w:t>
      </w:r>
      <w:r w:rsidR="00B83DEB" w:rsidRPr="00474A59">
        <w:rPr>
          <w:rFonts w:ascii="Arial" w:hAnsi="Arial" w:cs="Arial"/>
          <w:b/>
          <w:bCs/>
          <w:snapToGrid w:val="0"/>
          <w:sz w:val="24"/>
          <w:lang w:val="en-GB"/>
        </w:rPr>
        <w:t xml:space="preserve"> 20</w:t>
      </w:r>
      <w:r w:rsidRPr="00474A59">
        <w:rPr>
          <w:rFonts w:ascii="Arial" w:hAnsi="Arial" w:cs="Arial"/>
          <w:b/>
          <w:bCs/>
          <w:snapToGrid w:val="0"/>
          <w:sz w:val="24"/>
          <w:lang w:val="en-GB"/>
        </w:rPr>
        <w:t>2</w:t>
      </w:r>
      <w:r w:rsidR="00474A59">
        <w:rPr>
          <w:rFonts w:ascii="Arial" w:hAnsi="Arial" w:cs="Arial"/>
          <w:b/>
          <w:bCs/>
          <w:snapToGrid w:val="0"/>
          <w:sz w:val="24"/>
          <w:lang w:val="en-GB"/>
        </w:rPr>
        <w:t>2</w:t>
      </w:r>
    </w:p>
    <w:p w14:paraId="6988A02F" w14:textId="41AAE287" w:rsidR="00DE63A0" w:rsidRPr="00474A59" w:rsidRDefault="00DE63A0" w:rsidP="00DE63A0">
      <w:pPr>
        <w:wordWrap/>
        <w:adjustRightInd w:val="0"/>
        <w:snapToGrid w:val="0"/>
        <w:spacing w:line="240" w:lineRule="auto"/>
        <w:rPr>
          <w:rFonts w:ascii="Arial" w:hAnsi="Arial" w:cs="Arial"/>
          <w:b/>
          <w:snapToGrid w:val="0"/>
          <w:sz w:val="24"/>
        </w:rPr>
      </w:pPr>
      <w:r w:rsidRPr="00474A59">
        <w:rPr>
          <w:rFonts w:ascii="Arial" w:hAnsi="Arial" w:cs="Arial"/>
          <w:b/>
          <w:snapToGrid w:val="0"/>
          <w:sz w:val="24"/>
        </w:rPr>
        <w:t xml:space="preserve">Agenda item: </w:t>
      </w:r>
      <w:r w:rsidR="0067729B" w:rsidRPr="00474A59">
        <w:rPr>
          <w:rFonts w:ascii="Arial" w:hAnsi="Arial" w:cs="Arial"/>
          <w:snapToGrid w:val="0"/>
          <w:sz w:val="24"/>
        </w:rPr>
        <w:t>8.1.1</w:t>
      </w:r>
      <w:r w:rsidRPr="00474A59">
        <w:rPr>
          <w:rFonts w:ascii="Arial" w:hAnsi="Arial" w:cs="Arial"/>
          <w:snapToGrid w:val="0"/>
          <w:sz w:val="24"/>
        </w:rPr>
        <w:t>.</w:t>
      </w:r>
    </w:p>
    <w:p w14:paraId="39761FD0" w14:textId="77777777" w:rsidR="00DE63A0" w:rsidRPr="00474A59" w:rsidRDefault="00DE63A0" w:rsidP="00DE63A0">
      <w:pPr>
        <w:wordWrap/>
        <w:adjustRightInd w:val="0"/>
        <w:snapToGrid w:val="0"/>
        <w:spacing w:line="240" w:lineRule="auto"/>
        <w:rPr>
          <w:rFonts w:ascii="Arial" w:hAnsi="Arial" w:cs="Arial"/>
          <w:b/>
          <w:snapToGrid w:val="0"/>
          <w:sz w:val="24"/>
        </w:rPr>
      </w:pPr>
      <w:r w:rsidRPr="00474A59">
        <w:rPr>
          <w:rFonts w:ascii="Arial" w:hAnsi="Arial" w:cs="Arial"/>
          <w:b/>
          <w:snapToGrid w:val="0"/>
          <w:sz w:val="24"/>
        </w:rPr>
        <w:t xml:space="preserve">Source: </w:t>
      </w:r>
      <w:r w:rsidRPr="00474A59">
        <w:rPr>
          <w:rFonts w:ascii="Arial" w:hAnsi="Arial" w:cs="Arial"/>
          <w:snapToGrid w:val="0"/>
          <w:sz w:val="24"/>
        </w:rPr>
        <w:t>LG Electronics</w:t>
      </w:r>
    </w:p>
    <w:p w14:paraId="03AF4841" w14:textId="7D1E7F0C" w:rsidR="00DE63A0" w:rsidRPr="00474A59" w:rsidRDefault="00DE63A0" w:rsidP="00DE63A0">
      <w:pPr>
        <w:wordWrap/>
        <w:spacing w:line="240" w:lineRule="auto"/>
        <w:ind w:left="708" w:hangingChars="295" w:hanging="708"/>
        <w:rPr>
          <w:rFonts w:ascii="Arial" w:hAnsi="Arial" w:cs="Arial"/>
          <w:b/>
          <w:sz w:val="24"/>
        </w:rPr>
      </w:pPr>
      <w:r w:rsidRPr="00474A59">
        <w:rPr>
          <w:rFonts w:ascii="Arial" w:hAnsi="Arial" w:cs="Arial"/>
          <w:b/>
          <w:snapToGrid w:val="0"/>
          <w:sz w:val="24"/>
        </w:rPr>
        <w:t xml:space="preserve">Title: </w:t>
      </w:r>
      <w:r w:rsidR="008809AB" w:rsidRPr="00474A59">
        <w:rPr>
          <w:rFonts w:ascii="Arial" w:hAnsi="Arial" w:cs="Arial" w:hint="eastAsia"/>
          <w:snapToGrid w:val="0"/>
          <w:sz w:val="24"/>
        </w:rPr>
        <w:t>Enhancements</w:t>
      </w:r>
      <w:r w:rsidR="0067729B" w:rsidRPr="00474A59">
        <w:rPr>
          <w:rFonts w:ascii="Arial" w:hAnsi="Arial" w:cs="Arial"/>
          <w:snapToGrid w:val="0"/>
          <w:sz w:val="24"/>
        </w:rPr>
        <w:t xml:space="preserve"> </w:t>
      </w:r>
      <w:r w:rsidR="0067729B" w:rsidRPr="00474A59">
        <w:rPr>
          <w:rFonts w:ascii="Arial" w:hAnsi="Arial" w:cs="Arial"/>
          <w:sz w:val="24"/>
        </w:rPr>
        <w:t xml:space="preserve">on Multi-beam </w:t>
      </w:r>
      <w:r w:rsidR="008809AB" w:rsidRPr="00474A59">
        <w:rPr>
          <w:rFonts w:ascii="Arial" w:hAnsi="Arial" w:cs="Arial"/>
          <w:sz w:val="24"/>
        </w:rPr>
        <w:t>O</w:t>
      </w:r>
      <w:r w:rsidR="0067729B" w:rsidRPr="00474A59">
        <w:rPr>
          <w:rFonts w:ascii="Arial" w:hAnsi="Arial" w:cs="Arial"/>
          <w:sz w:val="24"/>
        </w:rPr>
        <w:t>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474A59">
        <w:rPr>
          <w:rFonts w:ascii="Arial" w:hAnsi="Arial" w:cs="Arial"/>
          <w:b/>
          <w:snapToGrid w:val="0"/>
          <w:sz w:val="24"/>
        </w:rPr>
        <w:t xml:space="preserve">Document for: </w:t>
      </w:r>
      <w:r w:rsidRPr="00474A59">
        <w:rPr>
          <w:rFonts w:ascii="Arial" w:hAnsi="Arial" w:cs="Arial"/>
          <w:snapToGrid w:val="0"/>
          <w:sz w:val="24"/>
        </w:rPr>
        <w:t>Discussion and Decision</w:t>
      </w:r>
    </w:p>
    <w:bookmarkEnd w:id="0"/>
    <w:bookmarkEnd w:id="1"/>
    <w:p w14:paraId="4E349CF7" w14:textId="77777777" w:rsidR="00DE63A0" w:rsidRDefault="00DE63A0" w:rsidP="00370EF1">
      <w:pPr>
        <w:pStyle w:val="1"/>
        <w:numPr>
          <w:ilvl w:val="0"/>
          <w:numId w:val="1"/>
        </w:numPr>
        <w:ind w:left="426" w:hanging="426"/>
        <w:rPr>
          <w:rFonts w:cs="Times New Roman"/>
        </w:rPr>
      </w:pPr>
      <w:r w:rsidRPr="004530D2">
        <w:rPr>
          <w:rFonts w:cs="Times New Roman"/>
        </w:rPr>
        <w:t>Introduction</w:t>
      </w:r>
    </w:p>
    <w:p w14:paraId="538533B6" w14:textId="6D5139E6" w:rsidR="00474A59" w:rsidRDefault="00474A59" w:rsidP="00474A59">
      <w:pPr>
        <w:pStyle w:val="LGTdoc1"/>
        <w:snapToGrid/>
        <w:spacing w:beforeLines="0" w:before="100" w:beforeAutospacing="1" w:line="360" w:lineRule="auto"/>
        <w:ind w:firstLineChars="146" w:firstLine="321"/>
        <w:contextualSpacing/>
        <w:rPr>
          <w:b w:val="0"/>
          <w:sz w:val="22"/>
          <w:lang w:val="en-US"/>
        </w:rPr>
      </w:pPr>
      <w:r>
        <w:rPr>
          <w:b w:val="0"/>
          <w:sz w:val="22"/>
          <w:lang w:val="en-US"/>
        </w:rPr>
        <w:t>In this contribution, we discuss remaining issues on the enhancements on UL/DL beam management.</w:t>
      </w:r>
    </w:p>
    <w:p w14:paraId="0A308032" w14:textId="097D6B93" w:rsidR="008F489F" w:rsidRPr="00BF3E00" w:rsidRDefault="00B41C3A" w:rsidP="00BF3E00">
      <w:pPr>
        <w:pStyle w:val="1"/>
        <w:numPr>
          <w:ilvl w:val="0"/>
          <w:numId w:val="1"/>
        </w:numPr>
        <w:ind w:left="426" w:hanging="426"/>
      </w:pPr>
      <w:r>
        <w:t>E</w:t>
      </w:r>
      <w:r w:rsidR="00012481">
        <w:t>nhanced</w:t>
      </w:r>
      <w:r>
        <w:t xml:space="preserve"> UL/DL beam management</w:t>
      </w:r>
    </w:p>
    <w:p w14:paraId="59624020" w14:textId="7A81D9B1" w:rsidR="00284F73" w:rsidRDefault="00576448" w:rsidP="00831F69">
      <w:pPr>
        <w:pStyle w:val="1"/>
        <w:numPr>
          <w:ilvl w:val="1"/>
          <w:numId w:val="1"/>
        </w:numPr>
        <w:tabs>
          <w:tab w:val="left" w:pos="851"/>
        </w:tabs>
        <w:ind w:left="993" w:hanging="993"/>
      </w:pPr>
      <w:r>
        <w:t xml:space="preserve">[Issue 1] </w:t>
      </w:r>
      <w:r w:rsidR="008F6019">
        <w:t>Unified TCI framework</w:t>
      </w:r>
    </w:p>
    <w:p w14:paraId="746AB97E" w14:textId="01E5A76E" w:rsidR="00FB079E" w:rsidRDefault="00FB079E" w:rsidP="00FB079E">
      <w:pPr>
        <w:pStyle w:val="LGTdoc1"/>
        <w:snapToGrid/>
        <w:spacing w:beforeLines="0" w:before="100" w:beforeAutospacing="1" w:line="360" w:lineRule="auto"/>
        <w:contextualSpacing/>
        <w:rPr>
          <w:sz w:val="22"/>
          <w:lang w:val="en-US"/>
        </w:rPr>
      </w:pPr>
      <w:r w:rsidRPr="006A1968">
        <w:rPr>
          <w:sz w:val="22"/>
          <w:lang w:val="en-US"/>
        </w:rPr>
        <w:t>I</w:t>
      </w:r>
      <w:r w:rsidRPr="006A1968">
        <w:rPr>
          <w:rFonts w:hint="eastAsia"/>
          <w:sz w:val="22"/>
          <w:lang w:val="en-US"/>
        </w:rPr>
        <w:t>ssue</w:t>
      </w:r>
      <w:r>
        <w:rPr>
          <w:sz w:val="22"/>
          <w:lang w:val="en-US"/>
        </w:rPr>
        <w:t xml:space="preserve"> 1-1</w:t>
      </w:r>
      <w:r w:rsidRPr="006A1968">
        <w:rPr>
          <w:sz w:val="22"/>
          <w:lang w:val="en-US"/>
        </w:rPr>
        <w:t xml:space="preserve">: </w:t>
      </w:r>
      <w:r w:rsidR="00877382">
        <w:rPr>
          <w:sz w:val="22"/>
          <w:lang w:val="en-US"/>
        </w:rPr>
        <w:t>Confirm the working assumption in RAN1#107-e</w:t>
      </w:r>
    </w:p>
    <w:p w14:paraId="7B76EAAA" w14:textId="77777777" w:rsidR="00381F58" w:rsidRPr="00B11658" w:rsidRDefault="00381F58" w:rsidP="00381F58">
      <w:pPr>
        <w:pStyle w:val="LGTdoc1"/>
        <w:snapToGrid/>
        <w:spacing w:beforeLines="0" w:before="100" w:beforeAutospacing="1" w:line="360" w:lineRule="auto"/>
        <w:ind w:firstLineChars="146" w:firstLine="321"/>
        <w:contextualSpacing/>
        <w:rPr>
          <w:b w:val="0"/>
          <w:sz w:val="22"/>
          <w:lang w:val="en-US"/>
        </w:rPr>
      </w:pPr>
      <w:r>
        <w:rPr>
          <w:b w:val="0"/>
          <w:sz w:val="22"/>
          <w:lang w:val="en-US"/>
        </w:rPr>
        <w:t>Regarding the working assumption (WA) on Rel-17 TCI configuration in RAN1#107-e as below, it has been discussed from the last meeting that the UE is not expected to be configured with both Rel-17 TCI and Rel-15/16 TCI/spatial relation info.</w:t>
      </w:r>
    </w:p>
    <w:tbl>
      <w:tblPr>
        <w:tblStyle w:val="a7"/>
        <w:tblW w:w="0" w:type="auto"/>
        <w:tblLook w:val="04A0" w:firstRow="1" w:lastRow="0" w:firstColumn="1" w:lastColumn="0" w:noHBand="0" w:noVBand="1"/>
      </w:tblPr>
      <w:tblGrid>
        <w:gridCol w:w="9016"/>
      </w:tblGrid>
      <w:tr w:rsidR="00381F58" w14:paraId="50255997" w14:textId="77777777" w:rsidTr="008A44E0">
        <w:tc>
          <w:tcPr>
            <w:tcW w:w="9016" w:type="dxa"/>
          </w:tcPr>
          <w:p w14:paraId="1C15791E" w14:textId="77777777" w:rsidR="00381F58" w:rsidRPr="007E53EF" w:rsidRDefault="00381F58" w:rsidP="008A44E0">
            <w:pPr>
              <w:widowControl/>
              <w:wordWrap/>
              <w:autoSpaceDE/>
              <w:spacing w:after="0"/>
              <w:rPr>
                <w:rFonts w:ascii="Times" w:eastAsia="맑은 고딕" w:hAnsi="Times" w:cs="Times"/>
                <w:b/>
                <w:highlight w:val="darkYellow"/>
              </w:rPr>
            </w:pPr>
            <w:r>
              <w:rPr>
                <w:rFonts w:ascii="Times" w:hAnsi="Times" w:cs="Times"/>
                <w:b/>
                <w:highlight w:val="darkYellow"/>
                <w:lang w:val="en-GB" w:eastAsia="en-US"/>
              </w:rPr>
              <w:t>Working Assumption</w:t>
            </w:r>
          </w:p>
          <w:p w14:paraId="7ED42306" w14:textId="77777777" w:rsidR="00381F58" w:rsidRPr="007E53EF" w:rsidRDefault="00381F58" w:rsidP="008A44E0">
            <w:pPr>
              <w:widowControl/>
              <w:wordWrap/>
              <w:autoSpaceDE/>
              <w:snapToGrid w:val="0"/>
              <w:spacing w:after="0"/>
              <w:rPr>
                <w:rFonts w:ascii="Times" w:hAnsi="Times" w:cs="Times"/>
                <w:szCs w:val="24"/>
                <w:lang w:eastAsia="en-US"/>
              </w:rPr>
            </w:pPr>
            <w:r w:rsidRPr="007E53EF">
              <w:rPr>
                <w:rFonts w:ascii="Times" w:hAnsi="Times" w:cs="Times"/>
                <w:lang w:val="en-GB" w:eastAsia="en-US"/>
              </w:rPr>
              <w:t>The UE is not expected to be configured with Rel-15/Rel-16 TCI/</w:t>
            </w:r>
            <w:r w:rsidRPr="007E53EF">
              <w:rPr>
                <w:rFonts w:ascii="Times" w:hAnsi="Times" w:cs="Times"/>
                <w:i/>
                <w:lang w:val="en-GB" w:eastAsia="en-US"/>
              </w:rPr>
              <w:t>SpatialRelationInfo</w:t>
            </w:r>
            <w:r w:rsidRPr="007E53EF">
              <w:rPr>
                <w:rFonts w:ascii="Times" w:hAnsi="Times" w:cs="Times"/>
                <w:lang w:val="en-GB" w:eastAsia="en-US"/>
              </w:rPr>
              <w:t xml:space="preserve"> if the UE is configured with Rel-17 TCI in any CC in a band</w:t>
            </w:r>
          </w:p>
          <w:p w14:paraId="2B50A70D" w14:textId="77777777" w:rsidR="00381F58" w:rsidRPr="007E53EF" w:rsidRDefault="00381F58" w:rsidP="00381F58">
            <w:pPr>
              <w:widowControl/>
              <w:numPr>
                <w:ilvl w:val="0"/>
                <w:numId w:val="13"/>
              </w:numPr>
              <w:wordWrap/>
              <w:autoSpaceDE/>
              <w:snapToGrid w:val="0"/>
              <w:spacing w:after="0"/>
              <w:rPr>
                <w:rFonts w:ascii="Times" w:hAnsi="Times" w:cs="Times"/>
                <w:lang w:val="en-GB" w:eastAsia="x-none"/>
              </w:rPr>
            </w:pPr>
            <w:r w:rsidRPr="007E53EF">
              <w:rPr>
                <w:rFonts w:ascii="Times" w:hAnsi="Times" w:cs="Times"/>
                <w:lang w:val="en-GB" w:eastAsia="x-none"/>
              </w:rPr>
              <w:t>The CC list for Rel-16 multi-CC beam indication should not contain any CC configured with Rel-17 TCI  </w:t>
            </w:r>
          </w:p>
        </w:tc>
      </w:tr>
    </w:tbl>
    <w:p w14:paraId="43EAD4B7" w14:textId="089E6F1E" w:rsidR="00381F58" w:rsidRDefault="00381F58" w:rsidP="00381F58">
      <w:pPr>
        <w:pStyle w:val="LGTdoc1"/>
        <w:snapToGrid/>
        <w:spacing w:beforeLines="0" w:before="100" w:beforeAutospacing="1" w:line="360" w:lineRule="auto"/>
        <w:contextualSpacing/>
        <w:rPr>
          <w:b w:val="0"/>
          <w:sz w:val="22"/>
          <w:lang w:val="en-US"/>
        </w:rPr>
      </w:pPr>
      <w:r>
        <w:rPr>
          <w:b w:val="0"/>
          <w:sz w:val="22"/>
          <w:lang w:val="en-US"/>
        </w:rPr>
        <w:t>In offline email discussion, it was proposed to modify the WA for</w:t>
      </w:r>
      <w:r w:rsidR="007C0ED0">
        <w:rPr>
          <w:b w:val="0"/>
          <w:sz w:val="22"/>
          <w:lang w:val="en-US"/>
        </w:rPr>
        <w:t xml:space="preserve"> making an</w:t>
      </w:r>
      <w:r>
        <w:rPr>
          <w:b w:val="0"/>
          <w:sz w:val="22"/>
          <w:lang w:val="en-US"/>
        </w:rPr>
        <w:t xml:space="preserve"> </w:t>
      </w:r>
      <w:r w:rsidR="007C0ED0">
        <w:rPr>
          <w:b w:val="0"/>
          <w:sz w:val="22"/>
          <w:lang w:val="en-US"/>
        </w:rPr>
        <w:t xml:space="preserve">exception of </w:t>
      </w:r>
      <w:r w:rsidRPr="008A44E0">
        <w:rPr>
          <w:b w:val="0"/>
          <w:i/>
          <w:sz w:val="22"/>
          <w:lang w:val="en-US"/>
        </w:rPr>
        <w:t>spatialRelationInfoPos</w:t>
      </w:r>
      <w:r w:rsidRPr="00E04295">
        <w:rPr>
          <w:b w:val="0"/>
          <w:sz w:val="22"/>
          <w:lang w:val="en-US"/>
        </w:rPr>
        <w:t xml:space="preserve"> </w:t>
      </w:r>
      <w:r>
        <w:rPr>
          <w:b w:val="0"/>
          <w:sz w:val="22"/>
          <w:lang w:val="en-US"/>
        </w:rPr>
        <w:t>in order to enable positioning feature together with Rel-17 unified TCI which is reasonable. Also, another offline proposal to clarify that different CC lists are used for Rel-16 and Rel-17, respectively is also reasonable. Therefore, we propose to confirm the WA with modification discussed above as follows.</w:t>
      </w:r>
    </w:p>
    <w:p w14:paraId="22EF48AC" w14:textId="77777777" w:rsidR="00381F58" w:rsidRPr="00B373D4" w:rsidRDefault="00381F58" w:rsidP="00381F58">
      <w:pPr>
        <w:pStyle w:val="LGTdoc1"/>
        <w:snapToGrid/>
        <w:spacing w:beforeLines="0" w:before="100" w:beforeAutospacing="1" w:line="360" w:lineRule="auto"/>
        <w:contextualSpacing/>
        <w:rPr>
          <w:b w:val="0"/>
          <w:sz w:val="22"/>
          <w:lang w:val="en-US"/>
        </w:rPr>
      </w:pPr>
    </w:p>
    <w:p w14:paraId="50C3C04E" w14:textId="77777777" w:rsidR="00381F58" w:rsidRDefault="00381F58" w:rsidP="00381F58">
      <w:pPr>
        <w:pStyle w:val="LGTdoc1"/>
        <w:snapToGrid/>
        <w:spacing w:beforeLines="0" w:before="100" w:beforeAutospacing="1" w:after="0" w:afterAutospacing="0" w:line="360" w:lineRule="auto"/>
        <w:contextualSpacing/>
        <w:rPr>
          <w:sz w:val="22"/>
          <w:lang w:val="en-US"/>
        </w:rPr>
      </w:pPr>
      <w:r w:rsidRPr="008130C6">
        <w:rPr>
          <w:rFonts w:hint="eastAsia"/>
          <w:sz w:val="22"/>
          <w:lang w:val="en-US"/>
        </w:rPr>
        <w:t>Proposal</w:t>
      </w:r>
      <w:r w:rsidRPr="008130C6">
        <w:rPr>
          <w:sz w:val="22"/>
          <w:lang w:val="en-US"/>
        </w:rPr>
        <w:t xml:space="preserve"> </w:t>
      </w:r>
      <w:r w:rsidRPr="008130C6">
        <w:rPr>
          <w:rFonts w:hint="eastAsia"/>
          <w:sz w:val="22"/>
          <w:lang w:val="en-US"/>
        </w:rPr>
        <w:t>#</w:t>
      </w:r>
      <w:r>
        <w:rPr>
          <w:sz w:val="22"/>
          <w:lang w:val="en-US"/>
        </w:rPr>
        <w:t>1</w:t>
      </w:r>
      <w:r w:rsidRPr="008130C6">
        <w:rPr>
          <w:rFonts w:hint="eastAsia"/>
          <w:sz w:val="22"/>
          <w:lang w:val="en-US"/>
        </w:rPr>
        <w:t xml:space="preserve">: </w:t>
      </w:r>
      <w:r>
        <w:rPr>
          <w:sz w:val="22"/>
          <w:lang w:val="en-US"/>
        </w:rPr>
        <w:t xml:space="preserve">Confirm the working assumption with the following refinement (highlighted in </w:t>
      </w:r>
      <w:r w:rsidRPr="007E53EF">
        <w:rPr>
          <w:color w:val="FF0000"/>
          <w:sz w:val="22"/>
          <w:lang w:val="en-US"/>
        </w:rPr>
        <w:t>red</w:t>
      </w:r>
      <w:r>
        <w:rPr>
          <w:sz w:val="22"/>
          <w:lang w:val="en-US"/>
        </w:rPr>
        <w:t>):</w:t>
      </w:r>
    </w:p>
    <w:p w14:paraId="00B557AB" w14:textId="77777777" w:rsidR="00381F58" w:rsidRPr="00877382" w:rsidRDefault="00381F58" w:rsidP="00381F58">
      <w:pPr>
        <w:snapToGrid w:val="0"/>
        <w:spacing w:after="0" w:line="240" w:lineRule="auto"/>
        <w:rPr>
          <w:rFonts w:ascii="Times New Roman" w:eastAsia="바탕" w:hAnsi="Times New Roman" w:cs="Times New Roman"/>
          <w:kern w:val="0"/>
          <w:szCs w:val="20"/>
          <w:lang w:val="en-GB"/>
        </w:rPr>
      </w:pPr>
      <w:r w:rsidRPr="00877382">
        <w:rPr>
          <w:rFonts w:ascii="Times New Roman" w:eastAsia="바탕" w:hAnsi="Times New Roman" w:cs="Times New Roman"/>
          <w:kern w:val="0"/>
          <w:szCs w:val="20"/>
          <w:lang w:val="en-GB"/>
        </w:rPr>
        <w:t>The UE is not expected to be configured with Rel-15/Rel-16 TCI/SpatialRelationInfo/</w:t>
      </w:r>
      <w:r w:rsidRPr="00877382">
        <w:rPr>
          <w:rFonts w:ascii="Times New Roman" w:eastAsia="바탕" w:hAnsi="Times New Roman" w:cs="Times New Roman"/>
          <w:i/>
          <w:color w:val="FF0000"/>
          <w:kern w:val="0"/>
          <w:szCs w:val="20"/>
          <w:lang w:val="en-GB"/>
        </w:rPr>
        <w:t>PUCCH-SpatialRelationInfo</w:t>
      </w:r>
      <w:r w:rsidRPr="00877382">
        <w:rPr>
          <w:rFonts w:ascii="Times New Roman" w:eastAsia="바탕" w:hAnsi="Times New Roman" w:cs="Times New Roman"/>
          <w:color w:val="FF0000"/>
          <w:kern w:val="0"/>
          <w:szCs w:val="20"/>
          <w:lang w:val="en-GB"/>
        </w:rPr>
        <w:t xml:space="preserve"> (except </w:t>
      </w:r>
      <w:r w:rsidRPr="00877382">
        <w:rPr>
          <w:rFonts w:ascii="Times New Roman" w:eastAsia="바탕" w:hAnsi="Times New Roman" w:cs="Times New Roman"/>
          <w:i/>
          <w:color w:val="FF0000"/>
          <w:kern w:val="0"/>
          <w:szCs w:val="20"/>
          <w:lang w:val="en-GB"/>
        </w:rPr>
        <w:t>spatialRelationInfoPos</w:t>
      </w:r>
      <w:r w:rsidRPr="00877382">
        <w:rPr>
          <w:rFonts w:ascii="Times New Roman" w:eastAsia="바탕" w:hAnsi="Times New Roman" w:cs="Times New Roman"/>
          <w:color w:val="FF0000"/>
          <w:kern w:val="0"/>
          <w:szCs w:val="20"/>
          <w:lang w:val="en-GB"/>
        </w:rPr>
        <w:t>)</w:t>
      </w:r>
      <w:r w:rsidRPr="00877382">
        <w:rPr>
          <w:rFonts w:ascii="Times New Roman" w:eastAsia="바탕" w:hAnsi="Times New Roman" w:cs="Times New Roman"/>
          <w:kern w:val="0"/>
          <w:szCs w:val="20"/>
          <w:lang w:val="en-GB"/>
        </w:rPr>
        <w:t xml:space="preserve"> if the UE is configured with Rel-17 TCI in any CC in a band</w:t>
      </w:r>
    </w:p>
    <w:p w14:paraId="47F0DABE" w14:textId="77777777" w:rsidR="00381F58" w:rsidRPr="00877382" w:rsidRDefault="00381F58" w:rsidP="00381F58">
      <w:pPr>
        <w:pStyle w:val="a6"/>
        <w:widowControl/>
        <w:numPr>
          <w:ilvl w:val="0"/>
          <w:numId w:val="14"/>
        </w:numPr>
        <w:wordWrap/>
        <w:autoSpaceDE/>
        <w:autoSpaceDN/>
        <w:snapToGrid w:val="0"/>
        <w:spacing w:after="0" w:line="240" w:lineRule="auto"/>
        <w:ind w:leftChars="0"/>
        <w:contextualSpacing/>
        <w:rPr>
          <w:rFonts w:ascii="Times New Roman" w:eastAsia="바탕" w:hAnsi="Times New Roman" w:cs="Times New Roman"/>
          <w:color w:val="FF0000"/>
          <w:kern w:val="0"/>
          <w:szCs w:val="20"/>
          <w:lang w:val="en-GB"/>
        </w:rPr>
      </w:pPr>
      <w:r w:rsidRPr="00877382">
        <w:rPr>
          <w:rFonts w:ascii="Times New Roman" w:eastAsia="바탕" w:hAnsi="Times New Roman" w:cs="Times New Roman"/>
          <w:kern w:val="0"/>
          <w:szCs w:val="20"/>
          <w:lang w:val="en-GB"/>
        </w:rPr>
        <w:t>The CC list for Rel-16 multi-CC beam indication should not contain any CC configured with Rel-17 TCI</w:t>
      </w:r>
      <w:r w:rsidRPr="00877382">
        <w:rPr>
          <w:rFonts w:ascii="Times New Roman" w:eastAsia="바탕" w:hAnsi="Times New Roman" w:cs="Times New Roman"/>
          <w:color w:val="FF0000"/>
          <w:kern w:val="0"/>
          <w:szCs w:val="20"/>
          <w:lang w:val="en-GB"/>
        </w:rPr>
        <w:t xml:space="preserve"> assuming different CC lists are used for Rel-16 and Rel-17</w:t>
      </w:r>
    </w:p>
    <w:p w14:paraId="7E047786" w14:textId="77777777" w:rsidR="00381F58" w:rsidRDefault="00381F58" w:rsidP="00381F58">
      <w:pPr>
        <w:pStyle w:val="LGTdoc1"/>
        <w:snapToGrid/>
        <w:spacing w:beforeLines="0" w:before="100" w:beforeAutospacing="1" w:line="360" w:lineRule="auto"/>
        <w:contextualSpacing/>
        <w:rPr>
          <w:sz w:val="22"/>
          <w:lang w:val="en-US"/>
        </w:rPr>
      </w:pPr>
    </w:p>
    <w:p w14:paraId="0467B750" w14:textId="535A7515" w:rsidR="00FB079E" w:rsidRDefault="00FB079E" w:rsidP="00FB079E">
      <w:pPr>
        <w:pStyle w:val="LGTdoc1"/>
        <w:snapToGrid/>
        <w:spacing w:beforeLines="0" w:before="100" w:beforeAutospacing="1" w:line="360" w:lineRule="auto"/>
        <w:contextualSpacing/>
        <w:rPr>
          <w:sz w:val="22"/>
          <w:lang w:val="en-US"/>
        </w:rPr>
      </w:pPr>
      <w:r w:rsidRPr="006A1968">
        <w:rPr>
          <w:sz w:val="22"/>
          <w:lang w:val="en-US"/>
        </w:rPr>
        <w:t>I</w:t>
      </w:r>
      <w:r w:rsidRPr="006A1968">
        <w:rPr>
          <w:rFonts w:hint="eastAsia"/>
          <w:sz w:val="22"/>
          <w:lang w:val="en-US"/>
        </w:rPr>
        <w:t>ssue</w:t>
      </w:r>
      <w:r>
        <w:rPr>
          <w:sz w:val="22"/>
          <w:lang w:val="en-US"/>
        </w:rPr>
        <w:t xml:space="preserve"> 1-</w:t>
      </w:r>
      <w:r w:rsidR="00196DB1">
        <w:rPr>
          <w:sz w:val="22"/>
          <w:lang w:val="en-US"/>
        </w:rPr>
        <w:t>2</w:t>
      </w:r>
      <w:r w:rsidRPr="006A1968">
        <w:rPr>
          <w:sz w:val="22"/>
          <w:lang w:val="en-US"/>
        </w:rPr>
        <w:t xml:space="preserve">: </w:t>
      </w:r>
      <w:r>
        <w:rPr>
          <w:sz w:val="22"/>
          <w:lang w:val="en-US"/>
        </w:rPr>
        <w:t>Whether ‘CORESET C’ is supported or not for intra-/inter-cell BM</w:t>
      </w:r>
    </w:p>
    <w:p w14:paraId="7B72FB86" w14:textId="24F2DB2F" w:rsidR="00DC61F3" w:rsidRPr="00DC61F3" w:rsidRDefault="00DC61F3" w:rsidP="00DC61F3">
      <w:pPr>
        <w:pStyle w:val="LGTdoc1"/>
        <w:snapToGrid/>
        <w:spacing w:beforeLines="0" w:before="100" w:beforeAutospacing="1" w:line="360" w:lineRule="auto"/>
        <w:ind w:firstLineChars="146" w:firstLine="321"/>
        <w:contextualSpacing/>
        <w:rPr>
          <w:b w:val="0"/>
          <w:sz w:val="22"/>
          <w:lang w:val="en-US"/>
        </w:rPr>
      </w:pPr>
      <w:r>
        <w:rPr>
          <w:b w:val="0"/>
          <w:sz w:val="22"/>
          <w:lang w:val="en-US"/>
        </w:rPr>
        <w:t>In the last meeting, the common applicability of the indicated Rel-17 TCI state is based on per CORESET determination as follows.</w:t>
      </w:r>
    </w:p>
    <w:tbl>
      <w:tblPr>
        <w:tblStyle w:val="a7"/>
        <w:tblW w:w="0" w:type="auto"/>
        <w:tblLook w:val="04A0" w:firstRow="1" w:lastRow="0" w:firstColumn="1" w:lastColumn="0" w:noHBand="0" w:noVBand="1"/>
      </w:tblPr>
      <w:tblGrid>
        <w:gridCol w:w="9016"/>
      </w:tblGrid>
      <w:tr w:rsidR="00FB079E" w14:paraId="19D8700F" w14:textId="77777777" w:rsidTr="00A73B36">
        <w:tc>
          <w:tcPr>
            <w:tcW w:w="9016" w:type="dxa"/>
          </w:tcPr>
          <w:p w14:paraId="19F021E0" w14:textId="72300B06" w:rsidR="00FB079E" w:rsidRDefault="00302A5D" w:rsidP="00A73B36">
            <w:pPr>
              <w:widowControl/>
              <w:wordWrap/>
              <w:autoSpaceDE/>
              <w:snapToGrid w:val="0"/>
              <w:spacing w:after="0"/>
              <w:rPr>
                <w:rFonts w:ascii="Times" w:hAnsi="Times"/>
                <w:b/>
                <w:color w:val="000000"/>
                <w:szCs w:val="28"/>
                <w:highlight w:val="green"/>
                <w:lang w:val="en-GB" w:eastAsia="x-none"/>
              </w:rPr>
            </w:pPr>
            <w:r>
              <w:rPr>
                <w:rFonts w:ascii="Times" w:hAnsi="Times"/>
                <w:b/>
                <w:color w:val="000000"/>
                <w:szCs w:val="28"/>
                <w:highlight w:val="green"/>
                <w:lang w:val="en-GB" w:eastAsia="x-none"/>
              </w:rPr>
              <w:t>Agreement</w:t>
            </w:r>
          </w:p>
          <w:p w14:paraId="2C504F7D" w14:textId="77777777" w:rsidR="00FB079E" w:rsidRDefault="00FB079E" w:rsidP="00A73B36">
            <w:pPr>
              <w:widowControl/>
              <w:wordWrap/>
              <w:autoSpaceDE/>
              <w:snapToGrid w:val="0"/>
              <w:spacing w:after="0"/>
              <w:rPr>
                <w:rFonts w:ascii="Times" w:hAnsi="Times"/>
                <w:color w:val="000000"/>
                <w:szCs w:val="28"/>
                <w:lang w:val="en-GB" w:eastAsia="x-none"/>
              </w:rPr>
            </w:pPr>
            <w:r>
              <w:rPr>
                <w:rFonts w:ascii="Times" w:hAnsi="Times"/>
                <w:color w:val="000000"/>
                <w:szCs w:val="28"/>
                <w:lang w:val="en-GB" w:eastAsia="x-none"/>
              </w:rPr>
              <w:t>For Rel-17 unified TCI framework, on applying the indicated Rel-17 TCI state to PDCCH reception and the respective PDSCH reception:</w:t>
            </w:r>
          </w:p>
          <w:p w14:paraId="20064255" w14:textId="77777777" w:rsidR="00FB079E" w:rsidRDefault="00FB079E" w:rsidP="00A73B36">
            <w:pPr>
              <w:widowControl/>
              <w:numPr>
                <w:ilvl w:val="0"/>
                <w:numId w:val="17"/>
              </w:numPr>
              <w:wordWrap/>
              <w:autoSpaceDE/>
              <w:snapToGrid w:val="0"/>
              <w:spacing w:after="0"/>
              <w:rPr>
                <w:rFonts w:ascii="Times" w:hAnsi="Times"/>
                <w:color w:val="000000"/>
                <w:szCs w:val="28"/>
                <w:lang w:val="en-GB" w:eastAsia="x-none"/>
              </w:rPr>
            </w:pPr>
            <w:r>
              <w:rPr>
                <w:rFonts w:ascii="Times" w:hAnsi="Times"/>
                <w:color w:val="000000"/>
                <w:szCs w:val="28"/>
                <w:lang w:val="en-GB" w:eastAsia="x-none"/>
              </w:rPr>
              <w:t>For discussion purposes, define as follows:</w:t>
            </w:r>
          </w:p>
          <w:p w14:paraId="2B2B7B24" w14:textId="77777777" w:rsidR="00FB079E" w:rsidRDefault="00FB079E" w:rsidP="00A73B36">
            <w:pPr>
              <w:widowControl/>
              <w:numPr>
                <w:ilvl w:val="1"/>
                <w:numId w:val="17"/>
              </w:numPr>
              <w:wordWrap/>
              <w:autoSpaceDE/>
              <w:snapToGrid w:val="0"/>
              <w:spacing w:after="0"/>
              <w:rPr>
                <w:rFonts w:ascii="Times" w:hAnsi="Times" w:cs="Times"/>
                <w:lang w:val="en-GB" w:eastAsia="x-none"/>
              </w:rPr>
            </w:pPr>
            <w:r>
              <w:rPr>
                <w:rFonts w:ascii="Times" w:hAnsi="Times" w:cs="Times"/>
                <w:lang w:val="en-GB" w:eastAsia="x-none"/>
              </w:rPr>
              <w:t xml:space="preserve">‘CORESET A’: A CORESET other than CORESET#0 associated with only UE-dedicated reception on PDCCH in a CC, comprising CORESETs in association with: </w:t>
            </w:r>
          </w:p>
          <w:p w14:paraId="3E1FD9C3" w14:textId="77777777" w:rsidR="00FB079E" w:rsidRDefault="00FB079E" w:rsidP="00A73B36">
            <w:pPr>
              <w:widowControl/>
              <w:numPr>
                <w:ilvl w:val="2"/>
                <w:numId w:val="19"/>
              </w:numPr>
              <w:wordWrap/>
              <w:autoSpaceDE/>
              <w:snapToGrid w:val="0"/>
              <w:spacing w:after="0"/>
              <w:rPr>
                <w:rFonts w:ascii="Times" w:hAnsi="Times" w:cs="Times"/>
                <w:lang w:val="en-GB" w:eastAsia="x-none"/>
              </w:rPr>
            </w:pPr>
            <w:r>
              <w:rPr>
                <w:rFonts w:ascii="Times" w:hAnsi="Times" w:cs="Times"/>
                <w:lang w:val="en-GB" w:eastAsia="x-none"/>
              </w:rPr>
              <w:t>[USS and/or CSS Type 3]</w:t>
            </w:r>
          </w:p>
          <w:p w14:paraId="66F1E4D4" w14:textId="77777777" w:rsidR="00FB079E" w:rsidRDefault="00FB079E" w:rsidP="00A73B36">
            <w:pPr>
              <w:widowControl/>
              <w:numPr>
                <w:ilvl w:val="1"/>
                <w:numId w:val="17"/>
              </w:numPr>
              <w:wordWrap/>
              <w:autoSpaceDE/>
              <w:snapToGrid w:val="0"/>
              <w:spacing w:after="0"/>
              <w:rPr>
                <w:rFonts w:ascii="Times" w:hAnsi="Times" w:cs="Times"/>
                <w:lang w:val="en-GB" w:eastAsia="x-none"/>
              </w:rPr>
            </w:pPr>
            <w:r>
              <w:rPr>
                <w:rFonts w:ascii="Times" w:hAnsi="Times" w:cs="Times"/>
                <w:lang w:val="en-GB" w:eastAsia="x-none"/>
              </w:rPr>
              <w:lastRenderedPageBreak/>
              <w:t>‘CORESET B’:  A CORESET other than CORESET#0 associated with only non-UE-dedicated reception on PDCCH in a CC, comprising CORESETs in association with:</w:t>
            </w:r>
          </w:p>
          <w:p w14:paraId="68E494CC" w14:textId="77777777" w:rsidR="00FB079E" w:rsidRDefault="00FB079E" w:rsidP="00A73B36">
            <w:pPr>
              <w:widowControl/>
              <w:numPr>
                <w:ilvl w:val="2"/>
                <w:numId w:val="19"/>
              </w:numPr>
              <w:wordWrap/>
              <w:autoSpaceDE/>
              <w:snapToGrid w:val="0"/>
              <w:spacing w:after="0"/>
              <w:rPr>
                <w:rFonts w:ascii="Times" w:hAnsi="Times" w:cs="Times"/>
                <w:lang w:val="en-GB" w:eastAsia="x-none"/>
              </w:rPr>
            </w:pPr>
            <w:r>
              <w:rPr>
                <w:rFonts w:ascii="Times" w:hAnsi="Times" w:cs="Times"/>
                <w:lang w:val="en-GB" w:eastAsia="x-none"/>
              </w:rPr>
              <w:t>[CSS or CSS other than Type 3]</w:t>
            </w:r>
          </w:p>
          <w:p w14:paraId="242D32A6" w14:textId="77777777" w:rsidR="00FB079E" w:rsidRDefault="00FB079E" w:rsidP="00A73B36">
            <w:pPr>
              <w:widowControl/>
              <w:numPr>
                <w:ilvl w:val="1"/>
                <w:numId w:val="17"/>
              </w:numPr>
              <w:wordWrap/>
              <w:autoSpaceDE/>
              <w:snapToGrid w:val="0"/>
              <w:spacing w:after="0"/>
              <w:rPr>
                <w:rFonts w:ascii="Times" w:hAnsi="Times" w:cs="Times"/>
                <w:lang w:val="en-GB" w:eastAsia="x-none"/>
              </w:rPr>
            </w:pPr>
            <w:r>
              <w:rPr>
                <w:rFonts w:ascii="Times" w:hAnsi="Times" w:cs="Times"/>
                <w:lang w:val="en-GB" w:eastAsia="x-none"/>
              </w:rPr>
              <w:t>‘CORESET C’: A CORESET other than CORESET#0 associated with both UE-dedicated and non-UE-dedicated reception on PDCCH in a CC</w:t>
            </w:r>
          </w:p>
          <w:p w14:paraId="74FCCA4A" w14:textId="77777777" w:rsidR="00FB079E" w:rsidRDefault="00FB079E" w:rsidP="00A73B36">
            <w:pPr>
              <w:widowControl/>
              <w:numPr>
                <w:ilvl w:val="1"/>
                <w:numId w:val="17"/>
              </w:numPr>
              <w:wordWrap/>
              <w:autoSpaceDE/>
              <w:snapToGrid w:val="0"/>
              <w:spacing w:after="0"/>
              <w:rPr>
                <w:rFonts w:ascii="Times" w:hAnsi="Times" w:cs="Times"/>
                <w:lang w:val="en-GB" w:eastAsia="x-none"/>
              </w:rPr>
            </w:pPr>
            <w:r>
              <w:rPr>
                <w:rFonts w:ascii="Times" w:hAnsi="Times" w:cs="Times"/>
                <w:lang w:val="en-GB" w:eastAsia="x-none"/>
              </w:rPr>
              <w:t>CORESET#0</w:t>
            </w:r>
          </w:p>
          <w:p w14:paraId="20E97DBC" w14:textId="77777777" w:rsidR="00FB079E" w:rsidRDefault="00FB079E" w:rsidP="00A73B36">
            <w:pPr>
              <w:widowControl/>
              <w:numPr>
                <w:ilvl w:val="0"/>
                <w:numId w:val="17"/>
              </w:numPr>
              <w:wordWrap/>
              <w:autoSpaceDE/>
              <w:snapToGrid w:val="0"/>
              <w:spacing w:after="0"/>
              <w:rPr>
                <w:rFonts w:ascii="Times" w:eastAsia="SimSun" w:hAnsi="Times"/>
                <w:color w:val="000000"/>
                <w:szCs w:val="28"/>
                <w:lang w:val="en-GB" w:eastAsia="x-none"/>
              </w:rPr>
            </w:pPr>
            <w:r>
              <w:rPr>
                <w:rFonts w:ascii="Times" w:hAnsi="Times"/>
                <w:color w:val="000000"/>
                <w:szCs w:val="28"/>
                <w:lang w:val="en-GB" w:eastAsia="x-none"/>
              </w:rPr>
              <w:t xml:space="preserve">For Rel-17 TCI state indication, support </w:t>
            </w:r>
            <w:r>
              <w:rPr>
                <w:rFonts w:ascii="Times" w:eastAsia="SimSun" w:hAnsi="Times"/>
                <w:color w:val="000000"/>
                <w:szCs w:val="28"/>
                <w:lang w:val="en-GB" w:eastAsia="x-none"/>
              </w:rPr>
              <w:t>per CORESET determination as follows:</w:t>
            </w:r>
          </w:p>
          <w:p w14:paraId="38894AB9" w14:textId="77777777" w:rsidR="00FB079E" w:rsidRDefault="00FB079E" w:rsidP="00A73B36">
            <w:pPr>
              <w:widowControl/>
              <w:numPr>
                <w:ilvl w:val="1"/>
                <w:numId w:val="17"/>
              </w:numPr>
              <w:wordWrap/>
              <w:autoSpaceDE/>
              <w:snapToGrid w:val="0"/>
              <w:spacing w:after="0"/>
              <w:rPr>
                <w:rFonts w:ascii="Times" w:hAnsi="Times" w:cs="Times"/>
                <w:lang w:val="en-GB" w:eastAsia="x-none"/>
              </w:rPr>
            </w:pPr>
            <w:r>
              <w:rPr>
                <w:rFonts w:ascii="Times" w:hAnsi="Times" w:cs="Times"/>
                <w:lang w:val="en-GB" w:eastAsia="x-none"/>
              </w:rPr>
              <w:t>For any PDCCH reception on a ‘CORESET A’ and the respective PDSCH reception, UE always applies the indicated Rel-17 TCI state.</w:t>
            </w:r>
          </w:p>
          <w:p w14:paraId="0604623E" w14:textId="77777777" w:rsidR="00FB079E" w:rsidRDefault="00FB079E" w:rsidP="00A73B36">
            <w:pPr>
              <w:widowControl/>
              <w:numPr>
                <w:ilvl w:val="1"/>
                <w:numId w:val="17"/>
              </w:numPr>
              <w:wordWrap/>
              <w:autoSpaceDE/>
              <w:snapToGrid w:val="0"/>
              <w:spacing w:after="0"/>
              <w:rPr>
                <w:rFonts w:ascii="Times" w:hAnsi="Times" w:cs="Times"/>
                <w:lang w:val="en-GB" w:eastAsia="x-none"/>
              </w:rPr>
            </w:pPr>
            <w:r>
              <w:rPr>
                <w:rFonts w:ascii="Times" w:hAnsi="Times" w:cs="Times"/>
                <w:lang w:val="en-GB" w:eastAsia="x-none"/>
              </w:rPr>
              <w:t>For any PDCCH reception on a ‘CORESET B’ and the respective PDSCH reception, whether or not UE to apply the indicated Rel-17 TCI state associated with the serving cell is determined per CORESET by RRC</w:t>
            </w:r>
          </w:p>
          <w:p w14:paraId="71399F7D" w14:textId="77777777" w:rsidR="00FB079E" w:rsidRDefault="00FB079E" w:rsidP="00A73B36">
            <w:pPr>
              <w:widowControl/>
              <w:numPr>
                <w:ilvl w:val="2"/>
                <w:numId w:val="19"/>
              </w:numPr>
              <w:wordWrap/>
              <w:autoSpaceDE/>
              <w:snapToGrid w:val="0"/>
              <w:spacing w:after="0"/>
              <w:rPr>
                <w:rFonts w:ascii="Times" w:hAnsi="Times" w:cs="Times"/>
                <w:lang w:val="en-GB" w:eastAsia="x-none"/>
              </w:rPr>
            </w:pPr>
            <w:r>
              <w:rPr>
                <w:rFonts w:ascii="Times" w:hAnsi="Times" w:cs="Times"/>
                <w:lang w:val="en-GB" w:eastAsia="x-none"/>
              </w:rPr>
              <w:t xml:space="preserve">FFS: For intra-cell BM, whether CORESET B is supported or not </w:t>
            </w:r>
          </w:p>
          <w:p w14:paraId="4AA87CBD" w14:textId="77777777" w:rsidR="00FB079E" w:rsidRDefault="00FB079E" w:rsidP="00A73B36">
            <w:pPr>
              <w:widowControl/>
              <w:numPr>
                <w:ilvl w:val="1"/>
                <w:numId w:val="17"/>
              </w:numPr>
              <w:wordWrap/>
              <w:autoSpaceDE/>
              <w:snapToGrid w:val="0"/>
              <w:spacing w:after="0"/>
              <w:rPr>
                <w:rFonts w:ascii="Times" w:hAnsi="Times" w:cs="Times"/>
                <w:lang w:val="en-GB" w:eastAsia="x-none"/>
              </w:rPr>
            </w:pPr>
            <w:r>
              <w:rPr>
                <w:rFonts w:ascii="Times" w:hAnsi="Times" w:cs="Times"/>
                <w:lang w:val="en-GB" w:eastAsia="x-none"/>
              </w:rPr>
              <w:t>If CORESET C is supported, the TCI state of CORESET C</w:t>
            </w:r>
          </w:p>
          <w:p w14:paraId="3CC64217" w14:textId="77777777" w:rsidR="00FB079E" w:rsidRDefault="00FB079E" w:rsidP="00A73B36">
            <w:pPr>
              <w:widowControl/>
              <w:numPr>
                <w:ilvl w:val="2"/>
                <w:numId w:val="19"/>
              </w:numPr>
              <w:wordWrap/>
              <w:autoSpaceDE/>
              <w:snapToGrid w:val="0"/>
              <w:spacing w:after="0"/>
              <w:rPr>
                <w:rFonts w:ascii="Times" w:hAnsi="Times" w:cs="Times"/>
                <w:lang w:val="en-GB" w:eastAsia="x-none"/>
              </w:rPr>
            </w:pPr>
            <w:r>
              <w:rPr>
                <w:rFonts w:ascii="Times" w:hAnsi="Times" w:cs="Times"/>
                <w:lang w:val="en-GB" w:eastAsia="x-none"/>
              </w:rPr>
              <w:t xml:space="preserve">FFS: For inter-cell BM, whether CORESET C is supported or not </w:t>
            </w:r>
          </w:p>
          <w:p w14:paraId="1CE2479F" w14:textId="77777777" w:rsidR="00FB079E" w:rsidRDefault="00FB079E" w:rsidP="00A73B36">
            <w:pPr>
              <w:widowControl/>
              <w:numPr>
                <w:ilvl w:val="1"/>
                <w:numId w:val="17"/>
              </w:numPr>
              <w:wordWrap/>
              <w:autoSpaceDE/>
              <w:snapToGrid w:val="0"/>
              <w:spacing w:after="0"/>
              <w:rPr>
                <w:rFonts w:ascii="Times" w:hAnsi="Times" w:cs="Times"/>
                <w:lang w:val="en-GB" w:eastAsia="x-none"/>
              </w:rPr>
            </w:pPr>
            <w:r>
              <w:rPr>
                <w:rFonts w:ascii="Times" w:hAnsi="Times" w:cs="Times"/>
                <w:lang w:val="en-GB" w:eastAsia="x-none"/>
              </w:rPr>
              <w:t>If CORESET C is supported, the TCI state of CORESET C</w:t>
            </w:r>
          </w:p>
          <w:p w14:paraId="2FE25B61" w14:textId="77777777" w:rsidR="00FB079E" w:rsidRPr="00FD5E7E" w:rsidRDefault="00FB079E" w:rsidP="00A73B36">
            <w:pPr>
              <w:widowControl/>
              <w:numPr>
                <w:ilvl w:val="2"/>
                <w:numId w:val="19"/>
              </w:numPr>
              <w:wordWrap/>
              <w:autoSpaceDE/>
              <w:snapToGrid w:val="0"/>
              <w:spacing w:after="0"/>
              <w:rPr>
                <w:rFonts w:ascii="Times" w:hAnsi="Times" w:cs="Times"/>
                <w:lang w:val="en-GB" w:eastAsia="x-none"/>
              </w:rPr>
            </w:pPr>
            <w:r>
              <w:rPr>
                <w:rFonts w:ascii="Times" w:hAnsi="Times" w:cs="Times"/>
                <w:lang w:val="en-GB" w:eastAsia="x-none"/>
              </w:rPr>
              <w:t>FFS: The TCI state of CORESET 0</w:t>
            </w:r>
          </w:p>
        </w:tc>
      </w:tr>
    </w:tbl>
    <w:p w14:paraId="59AD1CCA" w14:textId="0BF61BDA" w:rsidR="00381F58" w:rsidRDefault="00381F58" w:rsidP="00381F58">
      <w:pPr>
        <w:pStyle w:val="LGTdoc1"/>
        <w:snapToGrid/>
        <w:spacing w:beforeLines="0" w:before="100" w:beforeAutospacing="1" w:line="360" w:lineRule="auto"/>
        <w:ind w:firstLineChars="146" w:firstLine="321"/>
        <w:contextualSpacing/>
        <w:rPr>
          <w:b w:val="0"/>
          <w:sz w:val="22"/>
          <w:lang w:val="en-US"/>
        </w:rPr>
      </w:pPr>
      <w:r>
        <w:rPr>
          <w:rFonts w:hint="eastAsia"/>
          <w:b w:val="0"/>
          <w:sz w:val="22"/>
          <w:lang w:val="en-US"/>
        </w:rPr>
        <w:lastRenderedPageBreak/>
        <w:t xml:space="preserve">According to </w:t>
      </w:r>
      <w:r>
        <w:rPr>
          <w:b w:val="0"/>
          <w:sz w:val="22"/>
          <w:lang w:val="en-US"/>
        </w:rPr>
        <w:t xml:space="preserve">the </w:t>
      </w:r>
      <w:r>
        <w:rPr>
          <w:rFonts w:hint="eastAsia"/>
          <w:b w:val="0"/>
          <w:sz w:val="22"/>
          <w:lang w:val="en-US"/>
        </w:rPr>
        <w:t>agreement, UE-dedicated PDCCH/PDSCH should always ap</w:t>
      </w:r>
      <w:r>
        <w:rPr>
          <w:b w:val="0"/>
          <w:sz w:val="22"/>
          <w:lang w:val="en-US"/>
        </w:rPr>
        <w:t xml:space="preserve">ply the indicated Rel-17 TCI state. Regarding non-UE-dedicated reception on CORESET(s) and the associated PDSCH, gNB can configure whether to apply the indicated Rel-17 TCI state by RRC. Main motivation of providing this configurability is for when gNB cannot </w:t>
      </w:r>
      <w:r w:rsidR="007C0ED0">
        <w:rPr>
          <w:rFonts w:hint="eastAsia"/>
          <w:b w:val="0"/>
          <w:sz w:val="22"/>
          <w:lang w:val="en-US"/>
        </w:rPr>
        <w:t xml:space="preserve">use </w:t>
      </w:r>
      <w:r w:rsidR="007C0ED0">
        <w:rPr>
          <w:b w:val="0"/>
          <w:sz w:val="22"/>
          <w:lang w:val="en-US"/>
        </w:rPr>
        <w:t>the same</w:t>
      </w:r>
      <w:r>
        <w:rPr>
          <w:b w:val="0"/>
          <w:sz w:val="22"/>
          <w:lang w:val="en-US"/>
        </w:rPr>
        <w:t xml:space="preserve"> UE-specific RS</w:t>
      </w:r>
      <w:r w:rsidR="007C0ED0">
        <w:rPr>
          <w:b w:val="0"/>
          <w:sz w:val="22"/>
          <w:lang w:val="en-US"/>
        </w:rPr>
        <w:t xml:space="preserve"> (i.e. unified TCI state)</w:t>
      </w:r>
      <w:r>
        <w:rPr>
          <w:b w:val="0"/>
          <w:sz w:val="22"/>
          <w:lang w:val="en-US"/>
        </w:rPr>
        <w:t xml:space="preserve"> </w:t>
      </w:r>
      <w:r w:rsidR="007C0ED0">
        <w:rPr>
          <w:b w:val="0"/>
          <w:sz w:val="22"/>
          <w:lang w:val="en-US"/>
        </w:rPr>
        <w:t xml:space="preserve">as </w:t>
      </w:r>
      <w:r>
        <w:rPr>
          <w:b w:val="0"/>
          <w:sz w:val="22"/>
          <w:lang w:val="en-US"/>
        </w:rPr>
        <w:t>for non-UE-dedicated PDCCH/PDSCH transmission</w:t>
      </w:r>
      <w:r w:rsidR="007C0ED0">
        <w:rPr>
          <w:b w:val="0"/>
          <w:sz w:val="22"/>
          <w:lang w:val="en-US"/>
        </w:rPr>
        <w:t xml:space="preserve"> for both inter-cell and intra-cell operations</w:t>
      </w:r>
      <w:r>
        <w:rPr>
          <w:b w:val="0"/>
          <w:sz w:val="22"/>
          <w:lang w:val="en-US"/>
        </w:rPr>
        <w:t>. For CORESET C, the same principle can be applied since gNB can choose whether to use the UE specific beam</w:t>
      </w:r>
      <w:r w:rsidR="007C0ED0">
        <w:rPr>
          <w:b w:val="0"/>
          <w:sz w:val="22"/>
          <w:lang w:val="en-US"/>
        </w:rPr>
        <w:t xml:space="preserve"> RS</w:t>
      </w:r>
      <w:r>
        <w:rPr>
          <w:b w:val="0"/>
          <w:sz w:val="22"/>
          <w:lang w:val="en-US"/>
        </w:rPr>
        <w:t xml:space="preserve"> for those PDCCH transmitted via the CORESET C.</w:t>
      </w:r>
    </w:p>
    <w:p w14:paraId="61365252" w14:textId="77777777" w:rsidR="00381F58" w:rsidRDefault="00381F58" w:rsidP="00381F58">
      <w:pPr>
        <w:pStyle w:val="LGTdoc1"/>
        <w:snapToGrid/>
        <w:spacing w:beforeLines="0" w:before="100" w:beforeAutospacing="1" w:line="360" w:lineRule="auto"/>
        <w:ind w:firstLineChars="146" w:firstLine="321"/>
        <w:contextualSpacing/>
        <w:rPr>
          <w:b w:val="0"/>
          <w:sz w:val="22"/>
          <w:lang w:val="en-US"/>
        </w:rPr>
      </w:pPr>
    </w:p>
    <w:p w14:paraId="7C00F724" w14:textId="5459CDB9" w:rsidR="00381F58" w:rsidRPr="00CF10E4" w:rsidRDefault="00381F58" w:rsidP="00381F58">
      <w:pPr>
        <w:pStyle w:val="LGTdoc1"/>
        <w:snapToGrid/>
        <w:spacing w:beforeLines="0" w:before="100" w:beforeAutospacing="1" w:line="360" w:lineRule="auto"/>
        <w:contextualSpacing/>
        <w:rPr>
          <w:sz w:val="22"/>
          <w:lang w:val="en-US"/>
        </w:rPr>
      </w:pPr>
      <w:r w:rsidRPr="00CF10E4">
        <w:rPr>
          <w:rFonts w:hint="eastAsia"/>
          <w:sz w:val="22"/>
          <w:lang w:val="en-US"/>
        </w:rPr>
        <w:t>Proposal</w:t>
      </w:r>
      <w:r w:rsidRPr="00CF10E4">
        <w:rPr>
          <w:sz w:val="22"/>
          <w:lang w:val="en-US"/>
        </w:rPr>
        <w:t xml:space="preserve"> </w:t>
      </w:r>
      <w:r w:rsidRPr="00CF10E4">
        <w:rPr>
          <w:rFonts w:hint="eastAsia"/>
          <w:sz w:val="22"/>
          <w:lang w:val="en-US"/>
        </w:rPr>
        <w:t>#</w:t>
      </w:r>
      <w:r w:rsidR="003A4B70">
        <w:rPr>
          <w:sz w:val="22"/>
          <w:lang w:val="en-US"/>
        </w:rPr>
        <w:t>2</w:t>
      </w:r>
      <w:r w:rsidRPr="00CF10E4">
        <w:rPr>
          <w:rFonts w:hint="eastAsia"/>
          <w:sz w:val="22"/>
          <w:lang w:val="en-US"/>
        </w:rPr>
        <w:t xml:space="preserve">: </w:t>
      </w:r>
      <w:r w:rsidRPr="00CF10E4">
        <w:rPr>
          <w:sz w:val="22"/>
          <w:lang w:val="en-US"/>
        </w:rPr>
        <w:t>For CORESET C</w:t>
      </w:r>
      <w:r>
        <w:rPr>
          <w:sz w:val="22"/>
          <w:lang w:val="en-US"/>
        </w:rPr>
        <w:t>, the same principle as CORESET B can be applied</w:t>
      </w:r>
      <w:r w:rsidR="007C0ED0">
        <w:rPr>
          <w:sz w:val="22"/>
          <w:lang w:val="en-US"/>
        </w:rPr>
        <w:t xml:space="preserve">, i.e. </w:t>
      </w:r>
      <w:r w:rsidR="007C0ED0" w:rsidRPr="007C0ED0">
        <w:rPr>
          <w:sz w:val="22"/>
          <w:lang w:val="en-US"/>
        </w:rPr>
        <w:t>whether or not UE to apply the indicated Rel-17 TCI state associated with the serving cell is determined per CORESET by RRC</w:t>
      </w:r>
      <w:r w:rsidRPr="00CF10E4">
        <w:rPr>
          <w:sz w:val="22"/>
          <w:lang w:val="en-US"/>
        </w:rPr>
        <w:t>.</w:t>
      </w:r>
    </w:p>
    <w:p w14:paraId="4C161ABC" w14:textId="77777777" w:rsidR="00381F58" w:rsidRPr="00450483" w:rsidRDefault="00381F58" w:rsidP="00381F58">
      <w:pPr>
        <w:pStyle w:val="LGTdoc1"/>
        <w:snapToGrid/>
        <w:spacing w:beforeLines="0" w:before="100" w:beforeAutospacing="1" w:line="360" w:lineRule="auto"/>
        <w:ind w:firstLineChars="146" w:firstLine="321"/>
        <w:contextualSpacing/>
        <w:rPr>
          <w:b w:val="0"/>
          <w:sz w:val="22"/>
          <w:lang w:val="en-US"/>
        </w:rPr>
      </w:pPr>
    </w:p>
    <w:p w14:paraId="070C857A" w14:textId="715B55AE" w:rsidR="00381F58" w:rsidRPr="00397284" w:rsidRDefault="00381F58" w:rsidP="00381F58">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Regarding differentiating the design for </w:t>
      </w:r>
      <w:r>
        <w:rPr>
          <w:rFonts w:hint="eastAsia"/>
          <w:b w:val="0"/>
          <w:sz w:val="22"/>
          <w:lang w:val="en-US"/>
        </w:rPr>
        <w:t>inter</w:t>
      </w:r>
      <w:r>
        <w:rPr>
          <w:b w:val="0"/>
          <w:sz w:val="22"/>
          <w:lang w:val="en-US"/>
        </w:rPr>
        <w:t xml:space="preserve">-cell and </w:t>
      </w:r>
      <w:r>
        <w:rPr>
          <w:rFonts w:hint="eastAsia"/>
          <w:b w:val="0"/>
          <w:sz w:val="22"/>
          <w:lang w:val="en-US"/>
        </w:rPr>
        <w:t>intra-cell a</w:t>
      </w:r>
      <w:r>
        <w:rPr>
          <w:b w:val="0"/>
          <w:sz w:val="22"/>
          <w:lang w:val="en-US"/>
        </w:rPr>
        <w:t>s well as</w:t>
      </w:r>
      <w:r>
        <w:rPr>
          <w:rFonts w:hint="eastAsia"/>
          <w:b w:val="0"/>
          <w:sz w:val="22"/>
          <w:lang w:val="en-US"/>
        </w:rPr>
        <w:t xml:space="preserve"> UE-dedicated and non-UE-dedicated </w:t>
      </w:r>
      <w:r>
        <w:rPr>
          <w:b w:val="0"/>
          <w:sz w:val="22"/>
          <w:lang w:val="en-US"/>
        </w:rPr>
        <w:t xml:space="preserve">signal, </w:t>
      </w:r>
      <w:r w:rsidR="007C0ED0">
        <w:rPr>
          <w:b w:val="0"/>
          <w:sz w:val="22"/>
          <w:lang w:val="en-US"/>
        </w:rPr>
        <w:t xml:space="preserve">the </w:t>
      </w:r>
      <w:r>
        <w:rPr>
          <w:b w:val="0"/>
          <w:sz w:val="22"/>
          <w:lang w:val="en-US"/>
        </w:rPr>
        <w:t xml:space="preserve">simplest solution from specification perspective is to support configuring the RRC parameter </w:t>
      </w:r>
      <w:r w:rsidRPr="008A44E0">
        <w:rPr>
          <w:b w:val="0"/>
          <w:i/>
          <w:sz w:val="22"/>
          <w:lang w:val="en-US"/>
        </w:rPr>
        <w:t>followUnifiedTCI-State</w:t>
      </w:r>
      <w:r>
        <w:rPr>
          <w:b w:val="0"/>
          <w:sz w:val="22"/>
          <w:lang w:val="en-US"/>
        </w:rPr>
        <w:t xml:space="preserve"> for every individual CORESET regardless of inter-cell and intra-cell, then rely on NW implementation on</w:t>
      </w:r>
      <w:r w:rsidRPr="00397284">
        <w:t xml:space="preserve"> </w:t>
      </w:r>
      <w:r w:rsidRPr="00397284">
        <w:rPr>
          <w:b w:val="0"/>
          <w:sz w:val="22"/>
          <w:lang w:val="en-US"/>
        </w:rPr>
        <w:t>different scenarios such as inter-cell, intra-cell, non-UE-dedicated and UE-dedicated transmissions.</w:t>
      </w:r>
    </w:p>
    <w:p w14:paraId="0669515F" w14:textId="77777777" w:rsidR="00381F58" w:rsidRDefault="00381F58" w:rsidP="00381F58">
      <w:pPr>
        <w:pStyle w:val="LGTdoc1"/>
        <w:snapToGrid/>
        <w:spacing w:beforeLines="0" w:before="100" w:beforeAutospacing="1" w:line="360" w:lineRule="auto"/>
        <w:ind w:firstLineChars="146" w:firstLine="321"/>
        <w:contextualSpacing/>
        <w:rPr>
          <w:b w:val="0"/>
          <w:sz w:val="22"/>
          <w:lang w:val="en-US"/>
        </w:rPr>
      </w:pPr>
    </w:p>
    <w:p w14:paraId="116357E5" w14:textId="56ECF6B9" w:rsidR="00381F58" w:rsidRPr="00CF10E4" w:rsidRDefault="00381F58" w:rsidP="00381F58">
      <w:pPr>
        <w:pStyle w:val="LGTdoc1"/>
        <w:snapToGrid/>
        <w:spacing w:beforeLines="0" w:before="100" w:beforeAutospacing="1" w:line="360" w:lineRule="auto"/>
        <w:contextualSpacing/>
        <w:rPr>
          <w:sz w:val="22"/>
          <w:lang w:val="en-US"/>
        </w:rPr>
      </w:pPr>
      <w:r w:rsidRPr="00CF10E4">
        <w:rPr>
          <w:rFonts w:hint="eastAsia"/>
          <w:sz w:val="22"/>
          <w:lang w:val="en-US"/>
        </w:rPr>
        <w:t>Proposal</w:t>
      </w:r>
      <w:r w:rsidRPr="00CF10E4">
        <w:rPr>
          <w:sz w:val="22"/>
          <w:lang w:val="en-US"/>
        </w:rPr>
        <w:t xml:space="preserve"> </w:t>
      </w:r>
      <w:r w:rsidRPr="00CF10E4">
        <w:rPr>
          <w:rFonts w:hint="eastAsia"/>
          <w:sz w:val="22"/>
          <w:lang w:val="en-US"/>
        </w:rPr>
        <w:t>#</w:t>
      </w:r>
      <w:r w:rsidR="003A4B70">
        <w:rPr>
          <w:sz w:val="22"/>
          <w:lang w:val="en-US"/>
        </w:rPr>
        <w:t>3</w:t>
      </w:r>
      <w:r w:rsidRPr="00CF10E4">
        <w:rPr>
          <w:rFonts w:hint="eastAsia"/>
          <w:sz w:val="22"/>
          <w:lang w:val="en-US"/>
        </w:rPr>
        <w:t xml:space="preserve">: </w:t>
      </w:r>
      <w:r>
        <w:rPr>
          <w:sz w:val="22"/>
          <w:lang w:val="en-US"/>
        </w:rPr>
        <w:t xml:space="preserve">Consider to support configuring </w:t>
      </w:r>
      <w:r w:rsidRPr="008A44E0">
        <w:rPr>
          <w:i/>
          <w:sz w:val="22"/>
          <w:lang w:val="en-US"/>
        </w:rPr>
        <w:t>followUnifiedTCI-State</w:t>
      </w:r>
      <w:r>
        <w:rPr>
          <w:sz w:val="22"/>
          <w:lang w:val="en-US"/>
        </w:rPr>
        <w:t xml:space="preserve"> to every individual CORESETS, and rely on NW implementation to address different scenarios such as inter-cell, intra-cell, non-UE-dedicated and UE-dedicated transmissions.</w:t>
      </w:r>
    </w:p>
    <w:p w14:paraId="3953330C" w14:textId="77777777" w:rsidR="00FB079E" w:rsidRPr="00381F58" w:rsidRDefault="00FB079E" w:rsidP="00FB079E">
      <w:pPr>
        <w:pStyle w:val="LGTdoc1"/>
        <w:snapToGrid/>
        <w:spacing w:beforeLines="0" w:before="100" w:beforeAutospacing="1" w:line="360" w:lineRule="auto"/>
        <w:contextualSpacing/>
        <w:rPr>
          <w:sz w:val="22"/>
          <w:lang w:val="en-US"/>
        </w:rPr>
      </w:pPr>
    </w:p>
    <w:p w14:paraId="05F57E1C" w14:textId="57F2EAD2" w:rsidR="00521918" w:rsidRPr="002601FD" w:rsidRDefault="00521918" w:rsidP="00521918">
      <w:pPr>
        <w:pStyle w:val="LGTdoc1"/>
        <w:snapToGrid/>
        <w:spacing w:beforeLines="0" w:before="100" w:beforeAutospacing="1" w:line="360" w:lineRule="auto"/>
        <w:contextualSpacing/>
        <w:rPr>
          <w:sz w:val="22"/>
          <w:lang w:val="en-US"/>
        </w:rPr>
      </w:pPr>
      <w:r w:rsidRPr="00521918">
        <w:rPr>
          <w:sz w:val="22"/>
          <w:lang w:val="en-US"/>
        </w:rPr>
        <w:t>I</w:t>
      </w:r>
      <w:r w:rsidRPr="00521918">
        <w:rPr>
          <w:rFonts w:hint="eastAsia"/>
          <w:sz w:val="22"/>
          <w:lang w:val="en-US"/>
        </w:rPr>
        <w:t>ssue</w:t>
      </w:r>
      <w:r w:rsidR="00B373D4">
        <w:rPr>
          <w:sz w:val="22"/>
          <w:lang w:val="en-US"/>
        </w:rPr>
        <w:t xml:space="preserve"> </w:t>
      </w:r>
      <w:r>
        <w:rPr>
          <w:sz w:val="22"/>
          <w:lang w:val="en-US"/>
        </w:rPr>
        <w:t>1</w:t>
      </w:r>
      <w:r w:rsidR="00FB079E">
        <w:rPr>
          <w:sz w:val="22"/>
          <w:lang w:val="en-US"/>
        </w:rPr>
        <w:t>-</w:t>
      </w:r>
      <w:r w:rsidR="00196DB1">
        <w:rPr>
          <w:sz w:val="22"/>
          <w:lang w:val="en-US"/>
        </w:rPr>
        <w:t>3</w:t>
      </w:r>
      <w:r w:rsidRPr="00521918">
        <w:rPr>
          <w:sz w:val="22"/>
          <w:lang w:val="en-US"/>
        </w:rPr>
        <w:t>: common beam update in a BWP with multiple CORESET pool ind</w:t>
      </w:r>
      <w:r w:rsidR="002601FD">
        <w:rPr>
          <w:sz w:val="22"/>
          <w:lang w:val="en-US"/>
        </w:rPr>
        <w:t>ices</w:t>
      </w:r>
    </w:p>
    <w:p w14:paraId="2369644E" w14:textId="1D2768D0" w:rsidR="00521918" w:rsidRDefault="00E554D8" w:rsidP="00361691">
      <w:pPr>
        <w:pStyle w:val="LGTdoc1"/>
        <w:snapToGrid/>
        <w:spacing w:beforeLines="0" w:before="100" w:beforeAutospacing="1" w:line="360" w:lineRule="auto"/>
        <w:ind w:firstLineChars="146" w:firstLine="321"/>
        <w:contextualSpacing/>
        <w:rPr>
          <w:b w:val="0"/>
          <w:sz w:val="22"/>
          <w:lang w:val="en-US"/>
        </w:rPr>
      </w:pPr>
      <w:r>
        <w:rPr>
          <w:b w:val="0"/>
          <w:sz w:val="22"/>
          <w:lang w:val="en-US"/>
        </w:rPr>
        <w:t>B</w:t>
      </w:r>
      <w:r>
        <w:rPr>
          <w:rFonts w:hint="eastAsia"/>
          <w:b w:val="0"/>
          <w:sz w:val="22"/>
          <w:lang w:val="en-US"/>
        </w:rPr>
        <w:t xml:space="preserve">ased </w:t>
      </w:r>
      <w:r>
        <w:rPr>
          <w:b w:val="0"/>
          <w:sz w:val="22"/>
          <w:lang w:val="en-US"/>
        </w:rPr>
        <w:t>on the previous agreement</w:t>
      </w:r>
      <w:r w:rsidR="00CA5541">
        <w:rPr>
          <w:b w:val="0"/>
          <w:sz w:val="22"/>
          <w:lang w:val="en-US"/>
        </w:rPr>
        <w:t>s</w:t>
      </w:r>
      <w:r>
        <w:rPr>
          <w:b w:val="0"/>
          <w:sz w:val="22"/>
          <w:lang w:val="en-US"/>
        </w:rPr>
        <w:t>, common beam update can be applied for CORESET. There is a remaining issue whether the common beam update can be applied for CORESET(s) in a BWP configured with multiple CORESET pool ind</w:t>
      </w:r>
      <w:r w:rsidR="006D3728">
        <w:rPr>
          <w:b w:val="0"/>
          <w:sz w:val="22"/>
          <w:lang w:val="en-US"/>
        </w:rPr>
        <w:t>ices</w:t>
      </w:r>
      <w:r>
        <w:rPr>
          <w:b w:val="0"/>
          <w:sz w:val="22"/>
          <w:lang w:val="en-US"/>
        </w:rPr>
        <w:t>. For this issue, two alternative approaches can be considered as below:</w:t>
      </w:r>
    </w:p>
    <w:p w14:paraId="1559EFA4" w14:textId="0BECA3F8" w:rsidR="00E554D8" w:rsidRPr="00792D2F" w:rsidRDefault="00E554D8" w:rsidP="002601FD">
      <w:pPr>
        <w:pStyle w:val="LGTdoc1"/>
        <w:numPr>
          <w:ilvl w:val="0"/>
          <w:numId w:val="2"/>
        </w:numPr>
        <w:snapToGrid/>
        <w:spacing w:beforeLines="0" w:before="100" w:beforeAutospacing="1" w:line="360" w:lineRule="auto"/>
        <w:contextualSpacing/>
        <w:rPr>
          <w:b w:val="0"/>
          <w:sz w:val="22"/>
          <w:u w:val="single"/>
          <w:lang w:val="en-US"/>
        </w:rPr>
      </w:pPr>
      <w:r w:rsidRPr="00792D2F">
        <w:rPr>
          <w:b w:val="0"/>
          <w:sz w:val="22"/>
          <w:u w:val="single"/>
          <w:lang w:val="en-US"/>
        </w:rPr>
        <w:t xml:space="preserve">Alt1: </w:t>
      </w:r>
      <w:r>
        <w:rPr>
          <w:b w:val="0"/>
          <w:sz w:val="22"/>
          <w:u w:val="single"/>
          <w:lang w:val="en-US"/>
        </w:rPr>
        <w:t>common beam update is not applied for all CORESETs in a BWP configured with multiple CORESET pool ind</w:t>
      </w:r>
      <w:r w:rsidR="002601FD" w:rsidRPr="002601FD">
        <w:rPr>
          <w:b w:val="0"/>
          <w:sz w:val="22"/>
          <w:u w:val="single"/>
          <w:lang w:val="en-US"/>
        </w:rPr>
        <w:t>ices</w:t>
      </w:r>
      <w:r>
        <w:rPr>
          <w:b w:val="0"/>
          <w:sz w:val="22"/>
          <w:u w:val="single"/>
          <w:lang w:val="en-US"/>
        </w:rPr>
        <w:t>.</w:t>
      </w:r>
    </w:p>
    <w:p w14:paraId="7A4D3B97" w14:textId="105B219C" w:rsidR="00E554D8" w:rsidRPr="00792D2F" w:rsidRDefault="00E554D8" w:rsidP="00622D5B">
      <w:pPr>
        <w:pStyle w:val="LGTdoc1"/>
        <w:numPr>
          <w:ilvl w:val="0"/>
          <w:numId w:val="2"/>
        </w:numPr>
        <w:snapToGrid/>
        <w:spacing w:beforeLines="0" w:before="100" w:beforeAutospacing="1" w:line="360" w:lineRule="auto"/>
        <w:contextualSpacing/>
        <w:rPr>
          <w:b w:val="0"/>
          <w:sz w:val="22"/>
          <w:u w:val="single"/>
          <w:lang w:val="en-US"/>
        </w:rPr>
      </w:pPr>
      <w:r w:rsidRPr="00792D2F">
        <w:rPr>
          <w:b w:val="0"/>
          <w:sz w:val="22"/>
          <w:u w:val="single"/>
          <w:lang w:val="en-US"/>
        </w:rPr>
        <w:t>Alt</w:t>
      </w:r>
      <w:r>
        <w:rPr>
          <w:b w:val="0"/>
          <w:sz w:val="22"/>
          <w:u w:val="single"/>
          <w:lang w:val="en-US"/>
        </w:rPr>
        <w:t>2</w:t>
      </w:r>
      <w:r w:rsidRPr="00792D2F">
        <w:rPr>
          <w:b w:val="0"/>
          <w:sz w:val="22"/>
          <w:u w:val="single"/>
          <w:lang w:val="en-US"/>
        </w:rPr>
        <w:t xml:space="preserve">: </w:t>
      </w:r>
      <w:r>
        <w:rPr>
          <w:b w:val="0"/>
          <w:sz w:val="22"/>
          <w:u w:val="single"/>
          <w:lang w:val="en-US"/>
        </w:rPr>
        <w:t xml:space="preserve">common beam update is applied for specific CORESET(s) in a BWP configured with multiple CORESET pool </w:t>
      </w:r>
      <w:r w:rsidRPr="00F37C7A">
        <w:rPr>
          <w:b w:val="0"/>
          <w:sz w:val="22"/>
          <w:u w:val="single"/>
          <w:lang w:val="en-US"/>
        </w:rPr>
        <w:t>ind</w:t>
      </w:r>
      <w:r w:rsidR="002601FD" w:rsidRPr="00F37C7A">
        <w:rPr>
          <w:b w:val="0"/>
          <w:sz w:val="22"/>
          <w:u w:val="single"/>
          <w:lang w:val="en-US"/>
        </w:rPr>
        <w:t>ices</w:t>
      </w:r>
      <w:r w:rsidRPr="00F37C7A">
        <w:rPr>
          <w:b w:val="0"/>
          <w:sz w:val="22"/>
          <w:u w:val="single"/>
          <w:lang w:val="en-US"/>
        </w:rPr>
        <w:t>, e</w:t>
      </w:r>
      <w:r>
        <w:rPr>
          <w:b w:val="0"/>
          <w:sz w:val="22"/>
          <w:u w:val="single"/>
          <w:lang w:val="en-US"/>
        </w:rPr>
        <w:t xml:space="preserve">.g., CORESET(s) with </w:t>
      </w:r>
      <w:r w:rsidR="006D63CA">
        <w:rPr>
          <w:b w:val="0"/>
          <w:sz w:val="22"/>
          <w:u w:val="single"/>
          <w:lang w:val="en-US"/>
        </w:rPr>
        <w:t>CORESET pool index 0.</w:t>
      </w:r>
    </w:p>
    <w:p w14:paraId="42CC3FFF" w14:textId="77777777" w:rsidR="00D807B1" w:rsidRDefault="00D807B1" w:rsidP="00521918">
      <w:pPr>
        <w:pStyle w:val="LGTdoc1"/>
        <w:snapToGrid/>
        <w:spacing w:beforeLines="0" w:before="100" w:beforeAutospacing="1" w:line="360" w:lineRule="auto"/>
        <w:contextualSpacing/>
        <w:rPr>
          <w:b w:val="0"/>
          <w:sz w:val="22"/>
          <w:lang w:val="en-US"/>
        </w:rPr>
      </w:pPr>
    </w:p>
    <w:p w14:paraId="088A925B" w14:textId="2C893A1A" w:rsidR="00E554D8" w:rsidRPr="006D63CA" w:rsidRDefault="006D63CA" w:rsidP="00521918">
      <w:pPr>
        <w:pStyle w:val="LGTdoc1"/>
        <w:snapToGrid/>
        <w:spacing w:beforeLines="0" w:before="100" w:beforeAutospacing="1" w:line="360" w:lineRule="auto"/>
        <w:contextualSpacing/>
        <w:rPr>
          <w:b w:val="0"/>
          <w:sz w:val="22"/>
          <w:lang w:val="en-US"/>
        </w:rPr>
      </w:pPr>
      <w:r>
        <w:rPr>
          <w:b w:val="0"/>
          <w:sz w:val="22"/>
          <w:lang w:val="en-US"/>
        </w:rPr>
        <w:t>Both approaches work,</w:t>
      </w:r>
      <w:r w:rsidR="006D3728">
        <w:rPr>
          <w:b w:val="0"/>
          <w:sz w:val="22"/>
          <w:lang w:val="en-US"/>
        </w:rPr>
        <w:t xml:space="preserve"> and</w:t>
      </w:r>
      <w:r>
        <w:rPr>
          <w:b w:val="0"/>
          <w:sz w:val="22"/>
          <w:lang w:val="en-US"/>
        </w:rPr>
        <w:t xml:space="preserve"> our preference is Alt2 since common beam update can</w:t>
      </w:r>
      <w:r w:rsidR="006D3728">
        <w:rPr>
          <w:b w:val="0"/>
          <w:sz w:val="22"/>
          <w:lang w:val="en-US"/>
        </w:rPr>
        <w:t xml:space="preserve"> still</w:t>
      </w:r>
      <w:r>
        <w:rPr>
          <w:b w:val="0"/>
          <w:sz w:val="22"/>
          <w:lang w:val="en-US"/>
        </w:rPr>
        <w:t xml:space="preserve"> be applied for </w:t>
      </w:r>
      <w:r w:rsidR="006D3728">
        <w:rPr>
          <w:b w:val="0"/>
          <w:sz w:val="22"/>
          <w:lang w:val="en-US"/>
        </w:rPr>
        <w:t>BWPs/CCs configured with two CORESET pool indices</w:t>
      </w:r>
      <w:r>
        <w:rPr>
          <w:b w:val="0"/>
          <w:sz w:val="22"/>
          <w:lang w:val="en-US"/>
        </w:rPr>
        <w:t xml:space="preserve">. </w:t>
      </w:r>
    </w:p>
    <w:p w14:paraId="61743FFE" w14:textId="77777777" w:rsidR="00521918" w:rsidRDefault="00521918" w:rsidP="00521918">
      <w:pPr>
        <w:pStyle w:val="LGTdoc1"/>
        <w:snapToGrid/>
        <w:spacing w:beforeLines="0" w:before="100" w:beforeAutospacing="1" w:line="360" w:lineRule="auto"/>
        <w:contextualSpacing/>
        <w:rPr>
          <w:b w:val="0"/>
          <w:sz w:val="22"/>
          <w:lang w:val="en-US"/>
        </w:rPr>
      </w:pPr>
    </w:p>
    <w:p w14:paraId="46451F8E" w14:textId="7C74E885" w:rsidR="00E01431" w:rsidRPr="001B334F" w:rsidRDefault="001B334F" w:rsidP="00521918">
      <w:pPr>
        <w:pStyle w:val="LGTdoc1"/>
        <w:snapToGrid/>
        <w:spacing w:beforeLines="0" w:before="100" w:beforeAutospacing="1" w:line="360" w:lineRule="auto"/>
        <w:contextualSpacing/>
        <w:rPr>
          <w:sz w:val="22"/>
          <w:lang w:val="en-US"/>
        </w:rPr>
      </w:pPr>
      <w:r w:rsidRPr="001B334F">
        <w:rPr>
          <w:sz w:val="22"/>
          <w:lang w:val="en-US"/>
        </w:rPr>
        <w:t>P</w:t>
      </w:r>
      <w:r w:rsidRPr="001B334F">
        <w:rPr>
          <w:rFonts w:hint="eastAsia"/>
          <w:sz w:val="22"/>
          <w:lang w:val="en-US"/>
        </w:rPr>
        <w:t>roposal</w:t>
      </w:r>
      <w:r w:rsidRPr="001B334F">
        <w:rPr>
          <w:sz w:val="22"/>
          <w:lang w:val="en-US"/>
        </w:rPr>
        <w:t xml:space="preserve"> #</w:t>
      </w:r>
      <w:r w:rsidR="003A4B70">
        <w:rPr>
          <w:sz w:val="22"/>
          <w:lang w:val="en-US"/>
        </w:rPr>
        <w:t>4</w:t>
      </w:r>
      <w:r w:rsidRPr="001B334F">
        <w:rPr>
          <w:rFonts w:hint="eastAsia"/>
          <w:sz w:val="22"/>
          <w:lang w:val="en-US"/>
        </w:rPr>
        <w:t>:</w:t>
      </w:r>
      <w:r w:rsidRPr="001B334F">
        <w:rPr>
          <w:sz w:val="22"/>
          <w:lang w:val="en-US"/>
        </w:rPr>
        <w:t xml:space="preserve"> </w:t>
      </w:r>
      <w:r w:rsidR="009E5CB7">
        <w:rPr>
          <w:rFonts w:hint="eastAsia"/>
          <w:sz w:val="22"/>
          <w:lang w:val="en-US"/>
        </w:rPr>
        <w:t>It should be clarified whether the common beam update is supported for</w:t>
      </w:r>
      <w:r w:rsidR="009E5CB7">
        <w:rPr>
          <w:sz w:val="22"/>
          <w:lang w:val="en-US"/>
        </w:rPr>
        <w:t xml:space="preserve"> CORESET(s) in</w:t>
      </w:r>
      <w:r w:rsidR="009E5CB7">
        <w:rPr>
          <w:rFonts w:hint="eastAsia"/>
          <w:sz w:val="22"/>
          <w:lang w:val="en-US"/>
        </w:rPr>
        <w:t xml:space="preserve"> a BWP </w:t>
      </w:r>
      <w:r w:rsidR="009E5CB7">
        <w:rPr>
          <w:sz w:val="22"/>
          <w:lang w:val="en-US"/>
        </w:rPr>
        <w:t xml:space="preserve">configured </w:t>
      </w:r>
      <w:r w:rsidR="009E5CB7">
        <w:rPr>
          <w:rFonts w:hint="eastAsia"/>
          <w:sz w:val="22"/>
          <w:lang w:val="en-US"/>
        </w:rPr>
        <w:t xml:space="preserve">with </w:t>
      </w:r>
      <w:r w:rsidR="009E5CB7">
        <w:rPr>
          <w:sz w:val="22"/>
          <w:lang w:val="en-US"/>
        </w:rPr>
        <w:t>multiple CORESET pool ind</w:t>
      </w:r>
      <w:r w:rsidR="00862508">
        <w:rPr>
          <w:sz w:val="22"/>
          <w:lang w:val="en-US"/>
        </w:rPr>
        <w:t>ices</w:t>
      </w:r>
      <w:r w:rsidR="009E5CB7">
        <w:rPr>
          <w:sz w:val="22"/>
          <w:lang w:val="en-US"/>
        </w:rPr>
        <w:t>.</w:t>
      </w:r>
    </w:p>
    <w:p w14:paraId="7D2E0268" w14:textId="77777777" w:rsidR="001B334F" w:rsidRPr="00862508" w:rsidRDefault="001B334F" w:rsidP="00521918">
      <w:pPr>
        <w:pStyle w:val="LGTdoc1"/>
        <w:snapToGrid/>
        <w:spacing w:beforeLines="0" w:before="100" w:beforeAutospacing="1" w:line="360" w:lineRule="auto"/>
        <w:contextualSpacing/>
        <w:rPr>
          <w:b w:val="0"/>
          <w:sz w:val="22"/>
          <w:lang w:val="en-US"/>
        </w:rPr>
      </w:pPr>
    </w:p>
    <w:p w14:paraId="4A0C62FE" w14:textId="1CA8CF35" w:rsidR="00467F6E" w:rsidRDefault="00521918" w:rsidP="00521918">
      <w:pPr>
        <w:pStyle w:val="LGTdoc1"/>
        <w:snapToGrid/>
        <w:spacing w:beforeLines="0" w:before="100" w:beforeAutospacing="1" w:line="360" w:lineRule="auto"/>
        <w:contextualSpacing/>
        <w:rPr>
          <w:sz w:val="22"/>
          <w:lang w:val="en-US"/>
        </w:rPr>
      </w:pPr>
      <w:r w:rsidRPr="00521918">
        <w:rPr>
          <w:sz w:val="22"/>
          <w:lang w:val="en-US"/>
        </w:rPr>
        <w:t>I</w:t>
      </w:r>
      <w:r w:rsidRPr="00521918">
        <w:rPr>
          <w:rFonts w:hint="eastAsia"/>
          <w:sz w:val="22"/>
          <w:lang w:val="en-US"/>
        </w:rPr>
        <w:t>ssue</w:t>
      </w:r>
      <w:r w:rsidR="00B373D4">
        <w:rPr>
          <w:sz w:val="22"/>
          <w:lang w:val="en-US"/>
        </w:rPr>
        <w:t xml:space="preserve"> </w:t>
      </w:r>
      <w:r w:rsidR="00196DB1">
        <w:rPr>
          <w:sz w:val="22"/>
          <w:lang w:val="en-US"/>
        </w:rPr>
        <w:t>1-4</w:t>
      </w:r>
      <w:r w:rsidRPr="00521918">
        <w:rPr>
          <w:sz w:val="22"/>
          <w:lang w:val="en-US"/>
        </w:rPr>
        <w:t>: power control parameters for common TCI state ID update</w:t>
      </w:r>
      <w:r w:rsidR="004F2DB1">
        <w:rPr>
          <w:sz w:val="22"/>
          <w:lang w:val="en-US"/>
        </w:rPr>
        <w:t>/activation</w:t>
      </w:r>
      <w:r w:rsidRPr="00521918">
        <w:rPr>
          <w:sz w:val="22"/>
          <w:lang w:val="en-US"/>
        </w:rPr>
        <w:t xml:space="preserve"> for CA case</w:t>
      </w:r>
    </w:p>
    <w:tbl>
      <w:tblPr>
        <w:tblStyle w:val="a7"/>
        <w:tblW w:w="9252" w:type="dxa"/>
        <w:tblLook w:val="04A0" w:firstRow="1" w:lastRow="0" w:firstColumn="1" w:lastColumn="0" w:noHBand="0" w:noVBand="1"/>
      </w:tblPr>
      <w:tblGrid>
        <w:gridCol w:w="9252"/>
      </w:tblGrid>
      <w:tr w:rsidR="00467F6E" w14:paraId="26420073" w14:textId="77777777" w:rsidTr="00E01431">
        <w:tc>
          <w:tcPr>
            <w:tcW w:w="9252" w:type="dxa"/>
          </w:tcPr>
          <w:p w14:paraId="0462688B" w14:textId="77777777" w:rsidR="00467F6E" w:rsidRPr="00467F6E" w:rsidRDefault="00467F6E" w:rsidP="00467F6E">
            <w:pPr>
              <w:widowControl/>
              <w:wordWrap/>
              <w:autoSpaceDE/>
              <w:autoSpaceDN/>
              <w:snapToGrid w:val="0"/>
              <w:spacing w:after="0"/>
              <w:rPr>
                <w:rFonts w:ascii="Times" w:hAnsi="Times" w:cs="Times"/>
                <w:szCs w:val="24"/>
              </w:rPr>
            </w:pPr>
            <w:r w:rsidRPr="00467F6E">
              <w:rPr>
                <w:rFonts w:ascii="Times" w:hAnsi="Times" w:cs="Times"/>
                <w:b/>
                <w:bCs/>
                <w:highlight w:val="green"/>
                <w:lang w:val="en-GB" w:eastAsia="en-US"/>
              </w:rPr>
              <w:t>Agreement</w:t>
            </w:r>
          </w:p>
          <w:p w14:paraId="4E51609B" w14:textId="77777777" w:rsidR="00467F6E" w:rsidRPr="00467F6E" w:rsidRDefault="00467F6E" w:rsidP="00467F6E">
            <w:pPr>
              <w:widowControl/>
              <w:wordWrap/>
              <w:autoSpaceDE/>
              <w:autoSpaceDN/>
              <w:snapToGrid w:val="0"/>
              <w:spacing w:after="0"/>
              <w:rPr>
                <w:rFonts w:ascii="Times" w:hAnsi="Times" w:cs="Times"/>
                <w:szCs w:val="24"/>
                <w:lang w:val="en-GB" w:eastAsia="en-US"/>
              </w:rPr>
            </w:pPr>
            <w:r w:rsidRPr="00467F6E">
              <w:rPr>
                <w:rFonts w:ascii="Times" w:hAnsi="Times" w:cs="Times"/>
                <w:lang w:val="en-GB" w:eastAsia="en-US"/>
              </w:rPr>
              <w:t>On Rel-17 unified TCI framework, support common TCI state ID update and activation to provide common QCL information and/or common UL TX spatial filter(s) across a set of configured CCs:</w:t>
            </w:r>
          </w:p>
          <w:p w14:paraId="22F3F86C" w14:textId="77777777" w:rsidR="00467F6E" w:rsidRPr="00467F6E" w:rsidRDefault="00467F6E" w:rsidP="00622D5B">
            <w:pPr>
              <w:widowControl/>
              <w:numPr>
                <w:ilvl w:val="0"/>
                <w:numId w:val="3"/>
              </w:numPr>
              <w:wordWrap/>
              <w:overflowPunct w:val="0"/>
              <w:autoSpaceDE/>
              <w:autoSpaceDN/>
              <w:adjustRightInd w:val="0"/>
              <w:snapToGrid w:val="0"/>
              <w:spacing w:after="0"/>
              <w:textAlignment w:val="baseline"/>
              <w:rPr>
                <w:rFonts w:ascii="Times" w:hAnsi="Times" w:cs="Times"/>
                <w:szCs w:val="24"/>
                <w:lang w:val="en-GB" w:eastAsia="x-none"/>
              </w:rPr>
            </w:pPr>
            <w:r w:rsidRPr="00467F6E">
              <w:rPr>
                <w:rFonts w:ascii="Times" w:hAnsi="Times" w:cs="Times"/>
                <w:szCs w:val="24"/>
                <w:lang w:val="en-GB" w:eastAsia="x-none"/>
              </w:rPr>
              <w:t>The above applies to intra-band CA</w:t>
            </w:r>
          </w:p>
          <w:p w14:paraId="048E001C" w14:textId="77777777" w:rsidR="00467F6E" w:rsidRPr="00467F6E" w:rsidRDefault="00467F6E" w:rsidP="00622D5B">
            <w:pPr>
              <w:widowControl/>
              <w:numPr>
                <w:ilvl w:val="0"/>
                <w:numId w:val="3"/>
              </w:numPr>
              <w:wordWrap/>
              <w:overflowPunct w:val="0"/>
              <w:autoSpaceDE/>
              <w:autoSpaceDN/>
              <w:adjustRightInd w:val="0"/>
              <w:snapToGrid w:val="0"/>
              <w:spacing w:after="0"/>
              <w:textAlignment w:val="baseline"/>
              <w:rPr>
                <w:rFonts w:ascii="Times" w:hAnsi="Times" w:cs="Times"/>
                <w:szCs w:val="24"/>
                <w:lang w:val="en-GB" w:eastAsia="x-none"/>
              </w:rPr>
            </w:pPr>
            <w:r w:rsidRPr="00467F6E">
              <w:rPr>
                <w:rFonts w:ascii="Times" w:hAnsi="Times" w:cs="Times"/>
                <w:szCs w:val="24"/>
                <w:lang w:val="en-GB" w:eastAsia="x-none"/>
              </w:rPr>
              <w:t xml:space="preserve">The above applies to joint DL/UL and separate DL/UL beam indications </w:t>
            </w:r>
          </w:p>
          <w:p w14:paraId="56A6E07A" w14:textId="77777777" w:rsidR="00467F6E" w:rsidRPr="00467F6E" w:rsidRDefault="00467F6E" w:rsidP="00622D5B">
            <w:pPr>
              <w:widowControl/>
              <w:numPr>
                <w:ilvl w:val="0"/>
                <w:numId w:val="3"/>
              </w:numPr>
              <w:wordWrap/>
              <w:overflowPunct w:val="0"/>
              <w:autoSpaceDE/>
              <w:autoSpaceDN/>
              <w:adjustRightInd w:val="0"/>
              <w:snapToGrid w:val="0"/>
              <w:spacing w:after="0"/>
              <w:textAlignment w:val="baseline"/>
              <w:rPr>
                <w:rFonts w:ascii="Times" w:hAnsi="Times" w:cs="Times"/>
                <w:szCs w:val="24"/>
                <w:lang w:val="en-GB" w:eastAsia="x-none"/>
              </w:rPr>
            </w:pPr>
            <w:r w:rsidRPr="00467F6E">
              <w:rPr>
                <w:rFonts w:ascii="Times" w:hAnsi="Times" w:cs="Times"/>
                <w:szCs w:val="24"/>
                <w:lang w:val="en-GB" w:eastAsia="x-none"/>
              </w:rPr>
              <w:t>Just as Rel.16, the RS in the TCI state that provides QCL-TypeA [or QCL-TypeB] shall be in the same CC as the target channel or RS</w:t>
            </w:r>
          </w:p>
          <w:p w14:paraId="5AFE8BE6" w14:textId="77777777" w:rsidR="00467F6E" w:rsidRPr="00467F6E" w:rsidRDefault="00467F6E" w:rsidP="00622D5B">
            <w:pPr>
              <w:widowControl/>
              <w:numPr>
                <w:ilvl w:val="0"/>
                <w:numId w:val="3"/>
              </w:numPr>
              <w:wordWrap/>
              <w:overflowPunct w:val="0"/>
              <w:autoSpaceDE/>
              <w:autoSpaceDN/>
              <w:adjustRightInd w:val="0"/>
              <w:snapToGrid w:val="0"/>
              <w:spacing w:after="0"/>
              <w:textAlignment w:val="baseline"/>
              <w:rPr>
                <w:rFonts w:ascii="Times" w:hAnsi="Times" w:cs="Times"/>
                <w:szCs w:val="24"/>
                <w:lang w:val="en-GB" w:eastAsia="x-none"/>
              </w:rPr>
            </w:pPr>
            <w:r w:rsidRPr="00467F6E">
              <w:rPr>
                <w:rFonts w:ascii="Times" w:hAnsi="Times" w:cs="Times"/>
                <w:szCs w:val="24"/>
                <w:lang w:val="en-GB" w:eastAsia="x-none"/>
              </w:rPr>
              <w:t>The common TCI state ID implies that the same/single RS determined according to the TCI state(s) indicated by a common TCI state ID is used to provide QCL Type-D indication and to determine UL TX spatial filter across the set of configured CCs</w:t>
            </w:r>
          </w:p>
          <w:p w14:paraId="7249DFC0" w14:textId="77777777" w:rsidR="00467F6E" w:rsidRPr="00467F6E" w:rsidRDefault="00467F6E" w:rsidP="00622D5B">
            <w:pPr>
              <w:widowControl/>
              <w:numPr>
                <w:ilvl w:val="0"/>
                <w:numId w:val="3"/>
              </w:numPr>
              <w:wordWrap/>
              <w:overflowPunct w:val="0"/>
              <w:autoSpaceDE/>
              <w:autoSpaceDN/>
              <w:adjustRightInd w:val="0"/>
              <w:snapToGrid w:val="0"/>
              <w:spacing w:after="0"/>
              <w:textAlignment w:val="baseline"/>
              <w:rPr>
                <w:rFonts w:ascii="Times" w:hAnsi="Times" w:cs="Times"/>
                <w:szCs w:val="24"/>
                <w:lang w:val="en-GB" w:eastAsia="x-none"/>
              </w:rPr>
            </w:pPr>
            <w:r w:rsidRPr="00467F6E">
              <w:rPr>
                <w:rFonts w:ascii="Times" w:hAnsi="Times" w:cs="Times"/>
                <w:szCs w:val="24"/>
                <w:lang w:val="en-GB" w:eastAsia="x-none"/>
              </w:rPr>
              <w:t xml:space="preserve">FFS: The above also applies to inter-band CA </w:t>
            </w:r>
          </w:p>
          <w:p w14:paraId="1719C9DB" w14:textId="77777777" w:rsidR="00467F6E" w:rsidRPr="00467F6E" w:rsidRDefault="00467F6E" w:rsidP="00622D5B">
            <w:pPr>
              <w:widowControl/>
              <w:numPr>
                <w:ilvl w:val="0"/>
                <w:numId w:val="3"/>
              </w:numPr>
              <w:wordWrap/>
              <w:overflowPunct w:val="0"/>
              <w:autoSpaceDE/>
              <w:autoSpaceDN/>
              <w:adjustRightInd w:val="0"/>
              <w:snapToGrid w:val="0"/>
              <w:spacing w:after="0"/>
              <w:textAlignment w:val="baseline"/>
              <w:rPr>
                <w:rFonts w:ascii="Times" w:hAnsi="Times" w:cs="Times"/>
                <w:szCs w:val="24"/>
                <w:lang w:val="en-GB" w:eastAsia="x-none"/>
              </w:rPr>
            </w:pPr>
            <w:r w:rsidRPr="00467F6E">
              <w:rPr>
                <w:rFonts w:ascii="Times" w:hAnsi="Times" w:cs="Times"/>
                <w:szCs w:val="24"/>
                <w:lang w:val="en-GB" w:eastAsia="x-none"/>
              </w:rPr>
              <w:t xml:space="preserve">FFS: TCI state pool for CA </w:t>
            </w:r>
          </w:p>
          <w:p w14:paraId="536188D6" w14:textId="77777777" w:rsidR="00467F6E" w:rsidRPr="00467F6E" w:rsidRDefault="00467F6E" w:rsidP="00622D5B">
            <w:pPr>
              <w:widowControl/>
              <w:numPr>
                <w:ilvl w:val="1"/>
                <w:numId w:val="8"/>
              </w:numPr>
              <w:wordWrap/>
              <w:overflowPunct w:val="0"/>
              <w:autoSpaceDE/>
              <w:autoSpaceDN/>
              <w:adjustRightInd w:val="0"/>
              <w:snapToGrid w:val="0"/>
              <w:spacing w:after="0"/>
              <w:contextualSpacing/>
              <w:textAlignment w:val="baseline"/>
              <w:rPr>
                <w:rFonts w:ascii="Times" w:hAnsi="Times" w:cs="Times"/>
                <w:szCs w:val="24"/>
                <w:lang w:val="en-GB" w:eastAsia="x-none"/>
              </w:rPr>
            </w:pPr>
            <w:r w:rsidRPr="00467F6E">
              <w:rPr>
                <w:rFonts w:ascii="Times" w:hAnsi="Times" w:cs="Times"/>
                <w:szCs w:val="24"/>
                <w:lang w:val="en-GB" w:eastAsia="zh-CN"/>
              </w:rPr>
              <w:t xml:space="preserve">Opt-1: sharing a single RRC TCI state pool for the set of configured CCs, e.g., cell-group TCI state pool, or reuse TCI state pool for PDSCH in a reference cell; </w:t>
            </w:r>
            <w:r w:rsidRPr="00467F6E">
              <w:rPr>
                <w:rFonts w:ascii="Times" w:hAnsi="Times" w:cs="Times"/>
                <w:szCs w:val="24"/>
                <w:shd w:val="clear" w:color="auto" w:fill="FFFFFF"/>
                <w:lang w:val="en-GB" w:eastAsia="x-none"/>
              </w:rPr>
              <w:t>A CC ID for QCL-Type A RS is absent in a TCI state, and the CC ID for QCL-Type A RS is determined according to a target CC of the TCI state.</w:t>
            </w:r>
          </w:p>
          <w:p w14:paraId="5FCB4F02" w14:textId="77777777" w:rsidR="00467F6E" w:rsidRPr="00467F6E" w:rsidRDefault="00467F6E" w:rsidP="00622D5B">
            <w:pPr>
              <w:widowControl/>
              <w:numPr>
                <w:ilvl w:val="2"/>
                <w:numId w:val="8"/>
              </w:numPr>
              <w:wordWrap/>
              <w:overflowPunct w:val="0"/>
              <w:autoSpaceDE/>
              <w:autoSpaceDN/>
              <w:adjustRightInd w:val="0"/>
              <w:snapToGrid w:val="0"/>
              <w:spacing w:after="0"/>
              <w:contextualSpacing/>
              <w:textAlignment w:val="baseline"/>
              <w:rPr>
                <w:rFonts w:ascii="Times" w:hAnsi="Times" w:cs="Times"/>
                <w:szCs w:val="24"/>
                <w:lang w:val="en-GB" w:eastAsia="x-none"/>
              </w:rPr>
            </w:pPr>
            <w:r w:rsidRPr="00467F6E">
              <w:rPr>
                <w:rFonts w:ascii="Times" w:hAnsi="Times" w:cs="Times"/>
                <w:szCs w:val="24"/>
                <w:lang w:val="en-GB" w:eastAsia="x-none"/>
              </w:rPr>
              <w:t>FFS: Whether it is possible that a single TCI state in the pool includes all source RSs from different CCs</w:t>
            </w:r>
          </w:p>
          <w:p w14:paraId="15A2F4B1" w14:textId="77777777" w:rsidR="00467F6E" w:rsidRPr="00467F6E" w:rsidRDefault="00467F6E" w:rsidP="00622D5B">
            <w:pPr>
              <w:widowControl/>
              <w:numPr>
                <w:ilvl w:val="1"/>
                <w:numId w:val="8"/>
              </w:numPr>
              <w:wordWrap/>
              <w:overflowPunct w:val="0"/>
              <w:autoSpaceDE/>
              <w:autoSpaceDN/>
              <w:adjustRightInd w:val="0"/>
              <w:snapToGrid w:val="0"/>
              <w:spacing w:after="0"/>
              <w:contextualSpacing/>
              <w:textAlignment w:val="baseline"/>
              <w:rPr>
                <w:rFonts w:ascii="Times" w:hAnsi="Times" w:cs="Times"/>
                <w:szCs w:val="24"/>
                <w:lang w:val="en-GB" w:eastAsia="x-none"/>
              </w:rPr>
            </w:pPr>
            <w:r w:rsidRPr="00467F6E">
              <w:rPr>
                <w:rFonts w:ascii="Times" w:hAnsi="Times" w:cs="Times"/>
                <w:szCs w:val="24"/>
                <w:lang w:val="en-GB" w:eastAsia="zh-CN"/>
              </w:rPr>
              <w:t>Opt-2: configuring RRC TCI state pool per individual CC</w:t>
            </w:r>
          </w:p>
          <w:p w14:paraId="2791F289" w14:textId="77777777" w:rsidR="00467F6E" w:rsidRPr="00467F6E" w:rsidRDefault="00467F6E" w:rsidP="00622D5B">
            <w:pPr>
              <w:widowControl/>
              <w:numPr>
                <w:ilvl w:val="0"/>
                <w:numId w:val="3"/>
              </w:numPr>
              <w:wordWrap/>
              <w:overflowPunct w:val="0"/>
              <w:autoSpaceDE/>
              <w:autoSpaceDN/>
              <w:adjustRightInd w:val="0"/>
              <w:snapToGrid w:val="0"/>
              <w:spacing w:after="0"/>
              <w:textAlignment w:val="baseline"/>
              <w:rPr>
                <w:rFonts w:ascii="Times" w:hAnsi="Times" w:cs="Times"/>
                <w:szCs w:val="24"/>
                <w:lang w:val="en-GB" w:eastAsia="x-none"/>
              </w:rPr>
            </w:pPr>
            <w:r w:rsidRPr="00467F6E">
              <w:rPr>
                <w:rFonts w:ascii="Times" w:hAnsi="Times" w:cs="Times"/>
                <w:szCs w:val="24"/>
                <w:lang w:val="en-GB" w:eastAsia="x-none"/>
              </w:rPr>
              <w:t>FFS: Whether the Rel-17 common beam update across multiple CCs applies to beam indication for single channel (e.g. PDSCH only, single CORESET), a subset of channels, or all channels</w:t>
            </w:r>
          </w:p>
          <w:p w14:paraId="6AB96C04" w14:textId="77777777" w:rsidR="00467F6E" w:rsidRDefault="00467F6E" w:rsidP="00467F6E">
            <w:pPr>
              <w:widowControl/>
              <w:wordWrap/>
              <w:autoSpaceDE/>
              <w:autoSpaceDN/>
              <w:snapToGrid w:val="0"/>
              <w:spacing w:after="0"/>
              <w:rPr>
                <w:rFonts w:eastAsia="맑은 고딕"/>
                <w:b/>
                <w:bCs/>
                <w:szCs w:val="24"/>
                <w:highlight w:val="darkYellow"/>
                <w:lang w:val="en-GB" w:eastAsia="en-US"/>
              </w:rPr>
            </w:pPr>
          </w:p>
          <w:p w14:paraId="3976E21E" w14:textId="77777777" w:rsidR="00467F6E" w:rsidRPr="00467F6E" w:rsidRDefault="00467F6E" w:rsidP="00467F6E">
            <w:pPr>
              <w:widowControl/>
              <w:wordWrap/>
              <w:autoSpaceDE/>
              <w:autoSpaceDN/>
              <w:snapToGrid w:val="0"/>
              <w:spacing w:after="0"/>
              <w:rPr>
                <w:rFonts w:eastAsia="맑은 고딕"/>
                <w:b/>
                <w:bCs/>
                <w:szCs w:val="24"/>
                <w:highlight w:val="darkYellow"/>
                <w:lang w:val="en-GB" w:eastAsia="en-US"/>
              </w:rPr>
            </w:pPr>
            <w:r w:rsidRPr="00467F6E">
              <w:rPr>
                <w:rFonts w:eastAsia="맑은 고딕"/>
                <w:b/>
                <w:bCs/>
                <w:szCs w:val="24"/>
                <w:highlight w:val="darkYellow"/>
                <w:lang w:val="en-GB" w:eastAsia="en-US"/>
              </w:rPr>
              <w:t xml:space="preserve">Working Assumption </w:t>
            </w:r>
          </w:p>
          <w:p w14:paraId="20CD71C4" w14:textId="77777777" w:rsidR="00467F6E" w:rsidRPr="00467F6E" w:rsidRDefault="00467F6E" w:rsidP="00467F6E">
            <w:pPr>
              <w:widowControl/>
              <w:wordWrap/>
              <w:autoSpaceDE/>
              <w:autoSpaceDN/>
              <w:snapToGrid w:val="0"/>
              <w:spacing w:after="0"/>
              <w:rPr>
                <w:rFonts w:eastAsia="맑은 고딕"/>
                <w:szCs w:val="24"/>
                <w:lang w:val="en-GB" w:eastAsia="en-US"/>
              </w:rPr>
            </w:pPr>
            <w:r w:rsidRPr="00467F6E">
              <w:rPr>
                <w:rFonts w:eastAsia="맑은 고딕"/>
                <w:szCs w:val="24"/>
                <w:lang w:val="en-GB" w:eastAsia="en-US"/>
              </w:rPr>
              <w:t xml:space="preserve">For common TCI state ID update and activation to provide common QCL information </w:t>
            </w:r>
            <w:r w:rsidRPr="00467F6E">
              <w:rPr>
                <w:rFonts w:eastAsia="맑은 고딕"/>
                <w:szCs w:val="24"/>
                <w:lang w:val="en-GB" w:eastAsia="ja-JP"/>
              </w:rPr>
              <w:t xml:space="preserve">at least for UE-dedicated PDCCH/PDSCH </w:t>
            </w:r>
            <w:r w:rsidRPr="00467F6E">
              <w:rPr>
                <w:rFonts w:eastAsia="맑은 고딕"/>
                <w:szCs w:val="24"/>
                <w:lang w:val="en-GB" w:eastAsia="en-US"/>
              </w:rPr>
              <w:t xml:space="preserve">and/or common UL TX spatial filter(s) </w:t>
            </w:r>
            <w:r w:rsidRPr="00467F6E">
              <w:rPr>
                <w:rFonts w:eastAsia="맑은 고딕"/>
                <w:szCs w:val="24"/>
                <w:lang w:val="en-GB" w:eastAsia="ja-JP"/>
              </w:rPr>
              <w:t xml:space="preserve">at least for UE-dedicated PUSCH/PUCCH </w:t>
            </w:r>
            <w:r w:rsidRPr="00467F6E">
              <w:rPr>
                <w:rFonts w:eastAsia="맑은 고딕"/>
                <w:szCs w:val="24"/>
                <w:lang w:val="en-GB" w:eastAsia="en-US"/>
              </w:rPr>
              <w:t xml:space="preserve">across a set of [configured] CCs/BWPs: </w:t>
            </w:r>
          </w:p>
          <w:p w14:paraId="04923004" w14:textId="77777777" w:rsidR="00467F6E" w:rsidRPr="00467F6E" w:rsidRDefault="00467F6E" w:rsidP="00622D5B">
            <w:pPr>
              <w:widowControl/>
              <w:numPr>
                <w:ilvl w:val="0"/>
                <w:numId w:val="7"/>
              </w:numPr>
              <w:wordWrap/>
              <w:overflowPunct w:val="0"/>
              <w:autoSpaceDE/>
              <w:autoSpaceDN/>
              <w:adjustRightInd w:val="0"/>
              <w:snapToGrid w:val="0"/>
              <w:spacing w:after="0"/>
              <w:textAlignment w:val="baseline"/>
              <w:rPr>
                <w:rFonts w:eastAsia="맑은 고딕"/>
                <w:szCs w:val="24"/>
                <w:lang w:val="en-GB" w:eastAsia="en-US"/>
              </w:rPr>
            </w:pPr>
            <w:r w:rsidRPr="00467F6E">
              <w:rPr>
                <w:rFonts w:eastAsia="맑은 고딕"/>
                <w:szCs w:val="24"/>
                <w:lang w:val="en-GB" w:eastAsia="en-US"/>
              </w:rPr>
              <w:t>RRC-configured TCI state pool(s) can be configured in the PDSCH configuration (</w:t>
            </w:r>
            <w:r w:rsidRPr="00467F6E">
              <w:rPr>
                <w:rFonts w:eastAsia="맑은 고딕"/>
                <w:i/>
                <w:iCs/>
                <w:szCs w:val="24"/>
                <w:lang w:val="en-GB" w:eastAsia="en-US"/>
              </w:rPr>
              <w:t>PDSCH-Config</w:t>
            </w:r>
            <w:r w:rsidRPr="00467F6E">
              <w:rPr>
                <w:rFonts w:eastAsia="맑은 고딕"/>
                <w:szCs w:val="24"/>
                <w:lang w:val="en-GB" w:eastAsia="en-US"/>
              </w:rPr>
              <w:t>) for each BWP /CC as in Rel-15/16</w:t>
            </w:r>
          </w:p>
          <w:p w14:paraId="7748CBB0" w14:textId="77777777" w:rsidR="00467F6E" w:rsidRPr="00467F6E" w:rsidRDefault="00467F6E" w:rsidP="00622D5B">
            <w:pPr>
              <w:widowControl/>
              <w:numPr>
                <w:ilvl w:val="1"/>
                <w:numId w:val="7"/>
              </w:numPr>
              <w:wordWrap/>
              <w:overflowPunct w:val="0"/>
              <w:autoSpaceDE/>
              <w:autoSpaceDN/>
              <w:adjustRightInd w:val="0"/>
              <w:snapToGrid w:val="0"/>
              <w:spacing w:after="0"/>
              <w:textAlignment w:val="baseline"/>
              <w:rPr>
                <w:rFonts w:eastAsia="맑은 고딕"/>
                <w:szCs w:val="24"/>
                <w:lang w:val="en-GB" w:eastAsia="en-US"/>
              </w:rPr>
            </w:pPr>
            <w:r w:rsidRPr="00467F6E">
              <w:rPr>
                <w:szCs w:val="24"/>
                <w:lang w:val="en-GB" w:eastAsia="zh-CN"/>
              </w:rPr>
              <w:t xml:space="preserve">Note: Such </w:t>
            </w:r>
            <w:r w:rsidRPr="00467F6E">
              <w:rPr>
                <w:rFonts w:eastAsia="맑은 고딕"/>
                <w:szCs w:val="24"/>
                <w:lang w:val="en-GB" w:eastAsia="en-US"/>
              </w:rPr>
              <w:t>RRC-configured</w:t>
            </w:r>
            <w:r w:rsidRPr="00467F6E">
              <w:rPr>
                <w:szCs w:val="24"/>
                <w:lang w:val="en-GB" w:eastAsia="zh-CN"/>
              </w:rPr>
              <w:t xml:space="preserve"> TCI state pool(s) configuration doesn’t imply that separate DL/UL TCI state pool is excluded or supported</w:t>
            </w:r>
          </w:p>
          <w:p w14:paraId="3EBB0EA8" w14:textId="77777777" w:rsidR="00467F6E" w:rsidRPr="00467F6E" w:rsidRDefault="00467F6E" w:rsidP="00622D5B">
            <w:pPr>
              <w:widowControl/>
              <w:numPr>
                <w:ilvl w:val="0"/>
                <w:numId w:val="7"/>
              </w:numPr>
              <w:wordWrap/>
              <w:overflowPunct w:val="0"/>
              <w:autoSpaceDE/>
              <w:autoSpaceDN/>
              <w:adjustRightInd w:val="0"/>
              <w:snapToGrid w:val="0"/>
              <w:spacing w:after="0"/>
              <w:textAlignment w:val="baseline"/>
              <w:rPr>
                <w:rFonts w:eastAsia="맑은 고딕"/>
                <w:szCs w:val="24"/>
                <w:lang w:val="en-GB" w:eastAsia="en-US"/>
              </w:rPr>
            </w:pPr>
            <w:r w:rsidRPr="00467F6E">
              <w:rPr>
                <w:rFonts w:eastAsia="맑은 고딕"/>
                <w:szCs w:val="24"/>
                <w:lang w:val="en-GB" w:eastAsia="en-US"/>
              </w:rPr>
              <w:t>RRC-configured TCI state pool(s) can be absent in the PDSCH configuration (</w:t>
            </w:r>
            <w:r w:rsidRPr="00467F6E">
              <w:rPr>
                <w:rFonts w:eastAsia="맑은 고딕"/>
                <w:i/>
                <w:iCs/>
                <w:szCs w:val="24"/>
                <w:lang w:val="en-GB" w:eastAsia="en-US"/>
              </w:rPr>
              <w:t>PDSCH-Config</w:t>
            </w:r>
            <w:r w:rsidRPr="00467F6E">
              <w:rPr>
                <w:rFonts w:eastAsia="맑은 고딕"/>
                <w:szCs w:val="24"/>
                <w:lang w:val="en-GB" w:eastAsia="en-US"/>
              </w:rPr>
              <w:t>) for each BWP/CC, and replaced with a reference to RRC-configured TCI state pool(s) in a reference BWP/CC</w:t>
            </w:r>
          </w:p>
          <w:p w14:paraId="292E1647" w14:textId="77777777" w:rsidR="00467F6E" w:rsidRPr="00467F6E" w:rsidRDefault="00467F6E" w:rsidP="00622D5B">
            <w:pPr>
              <w:widowControl/>
              <w:numPr>
                <w:ilvl w:val="1"/>
                <w:numId w:val="7"/>
              </w:numPr>
              <w:wordWrap/>
              <w:overflowPunct w:val="0"/>
              <w:autoSpaceDE/>
              <w:autoSpaceDN/>
              <w:adjustRightInd w:val="0"/>
              <w:snapToGrid w:val="0"/>
              <w:spacing w:after="0"/>
              <w:textAlignment w:val="baseline"/>
              <w:rPr>
                <w:rFonts w:eastAsia="맑은 고딕"/>
                <w:szCs w:val="24"/>
                <w:lang w:val="en-GB" w:eastAsia="en-US"/>
              </w:rPr>
            </w:pPr>
            <w:r w:rsidRPr="00467F6E">
              <w:rPr>
                <w:rFonts w:eastAsia="맑은 고딕"/>
                <w:szCs w:val="24"/>
                <w:lang w:val="en-GB" w:eastAsia="en-US"/>
              </w:rPr>
              <w:t>In the PDSCH configuration (</w:t>
            </w:r>
            <w:r w:rsidRPr="00467F6E">
              <w:rPr>
                <w:rFonts w:eastAsia="맑은 고딕"/>
                <w:i/>
                <w:iCs/>
                <w:szCs w:val="24"/>
                <w:lang w:val="en-GB" w:eastAsia="en-US"/>
              </w:rPr>
              <w:t>PDSCH-Config</w:t>
            </w:r>
            <w:r w:rsidRPr="00467F6E">
              <w:rPr>
                <w:rFonts w:eastAsia="맑은 고딕"/>
                <w:szCs w:val="24"/>
                <w:lang w:val="en-GB" w:eastAsia="en-US"/>
              </w:rPr>
              <w:t>) of the reference BWP/CC, RRC-configured TCI state pool(s) shall be configured</w:t>
            </w:r>
          </w:p>
          <w:p w14:paraId="68197410" w14:textId="77777777" w:rsidR="00467F6E" w:rsidRPr="00467F6E" w:rsidRDefault="00467F6E" w:rsidP="00622D5B">
            <w:pPr>
              <w:widowControl/>
              <w:numPr>
                <w:ilvl w:val="1"/>
                <w:numId w:val="7"/>
              </w:numPr>
              <w:tabs>
                <w:tab w:val="num" w:pos="1440"/>
              </w:tabs>
              <w:wordWrap/>
              <w:overflowPunct w:val="0"/>
              <w:autoSpaceDE/>
              <w:autoSpaceDN/>
              <w:adjustRightInd w:val="0"/>
              <w:snapToGrid w:val="0"/>
              <w:spacing w:after="0"/>
              <w:textAlignment w:val="baseline"/>
              <w:rPr>
                <w:rFonts w:eastAsia="맑은 고딕"/>
                <w:szCs w:val="24"/>
                <w:lang w:val="en-GB" w:eastAsia="en-US"/>
              </w:rPr>
            </w:pPr>
            <w:r w:rsidRPr="00467F6E">
              <w:rPr>
                <w:rFonts w:eastAsia="맑은 고딕"/>
                <w:szCs w:val="24"/>
                <w:lang w:val="en-GB" w:eastAsia="en-US"/>
              </w:rPr>
              <w:t>For a BWP/CC where the PDSCH configuration contains a reference to the RRC-configured TCI state pool(s) in a reference BWP/CC, the UE applies the RRC-configured TCI state pool(s) in the reference BWP/CC</w:t>
            </w:r>
          </w:p>
          <w:p w14:paraId="33867496" w14:textId="77777777" w:rsidR="00467F6E" w:rsidRPr="00467F6E" w:rsidRDefault="00467F6E" w:rsidP="00622D5B">
            <w:pPr>
              <w:widowControl/>
              <w:numPr>
                <w:ilvl w:val="0"/>
                <w:numId w:val="7"/>
              </w:numPr>
              <w:wordWrap/>
              <w:overflowPunct w:val="0"/>
              <w:autoSpaceDE/>
              <w:autoSpaceDN/>
              <w:adjustRightInd w:val="0"/>
              <w:snapToGrid w:val="0"/>
              <w:spacing w:after="0"/>
              <w:textAlignment w:val="baseline"/>
              <w:rPr>
                <w:rFonts w:eastAsia="맑은 고딕"/>
                <w:szCs w:val="24"/>
                <w:lang w:val="en-GB" w:eastAsia="en-US"/>
              </w:rPr>
            </w:pPr>
            <w:r w:rsidRPr="00467F6E">
              <w:rPr>
                <w:szCs w:val="24"/>
                <w:lang w:val="en-GB" w:eastAsia="en-US"/>
              </w:rPr>
              <w:t>When the BWP/CC ID (</w:t>
            </w:r>
            <w:r w:rsidRPr="00467F6E">
              <w:rPr>
                <w:i/>
                <w:iCs/>
                <w:szCs w:val="24"/>
                <w:lang w:val="en-GB" w:eastAsia="en-US"/>
              </w:rPr>
              <w:t>cell</w:t>
            </w:r>
            <w:r w:rsidRPr="00467F6E">
              <w:rPr>
                <w:szCs w:val="24"/>
                <w:lang w:val="en-GB" w:eastAsia="en-US"/>
              </w:rPr>
              <w:t>) for QCL-Type A/D source RS in a </w:t>
            </w:r>
            <w:r w:rsidRPr="00467F6E">
              <w:rPr>
                <w:i/>
                <w:iCs/>
                <w:szCs w:val="24"/>
                <w:lang w:val="en-GB" w:eastAsia="en-US"/>
              </w:rPr>
              <w:t>QCL-Info</w:t>
            </w:r>
            <w:r w:rsidRPr="00467F6E">
              <w:rPr>
                <w:szCs w:val="24"/>
                <w:lang w:val="en-GB" w:eastAsia="en-US"/>
              </w:rPr>
              <w:t> of the TCI state is absent, the UE assumes that QCL-Type A/D source RS is in the BWP/CC to which the TCI state applies</w:t>
            </w:r>
          </w:p>
          <w:p w14:paraId="4833721D" w14:textId="77777777" w:rsidR="00467F6E" w:rsidRPr="00467F6E" w:rsidRDefault="00467F6E" w:rsidP="00622D5B">
            <w:pPr>
              <w:widowControl/>
              <w:numPr>
                <w:ilvl w:val="0"/>
                <w:numId w:val="7"/>
              </w:numPr>
              <w:wordWrap/>
              <w:overflowPunct w:val="0"/>
              <w:autoSpaceDE/>
              <w:autoSpaceDN/>
              <w:adjustRightInd w:val="0"/>
              <w:snapToGrid w:val="0"/>
              <w:spacing w:after="0"/>
              <w:textAlignment w:val="baseline"/>
              <w:rPr>
                <w:rFonts w:eastAsia="맑은 고딕"/>
                <w:szCs w:val="24"/>
                <w:lang w:val="en-GB" w:eastAsia="en-US"/>
              </w:rPr>
            </w:pPr>
            <w:r w:rsidRPr="00467F6E">
              <w:rPr>
                <w:rFonts w:eastAsia="맑은 고딕"/>
                <w:szCs w:val="24"/>
                <w:lang w:val="en-GB" w:eastAsia="en-US"/>
              </w:rPr>
              <w:t>Introduce a UE capability to report maximum number of TCI state pools it can support across BWPs and CCs in a band, and the candidate value at least includes 1</w:t>
            </w:r>
          </w:p>
          <w:p w14:paraId="78AD9148" w14:textId="77777777" w:rsidR="00467F6E" w:rsidRPr="00467F6E" w:rsidRDefault="00467F6E" w:rsidP="00622D5B">
            <w:pPr>
              <w:widowControl/>
              <w:numPr>
                <w:ilvl w:val="0"/>
                <w:numId w:val="7"/>
              </w:numPr>
              <w:wordWrap/>
              <w:overflowPunct w:val="0"/>
              <w:autoSpaceDE/>
              <w:autoSpaceDN/>
              <w:adjustRightInd w:val="0"/>
              <w:snapToGrid w:val="0"/>
              <w:spacing w:after="0"/>
              <w:textAlignment w:val="baseline"/>
              <w:rPr>
                <w:rFonts w:eastAsia="맑은 고딕"/>
                <w:szCs w:val="24"/>
                <w:lang w:val="en-GB" w:eastAsia="en-US"/>
              </w:rPr>
            </w:pPr>
            <w:r w:rsidRPr="00467F6E">
              <w:rPr>
                <w:rFonts w:eastAsia="맑은 고딕"/>
                <w:szCs w:val="24"/>
                <w:lang w:val="en-GB" w:eastAsia="en-US"/>
              </w:rPr>
              <w:t>FFS: Introduce a UE capability to report maximum number of configured TCI states that it can support across BWPs and CCs in a band</w:t>
            </w:r>
          </w:p>
          <w:p w14:paraId="35AB73B0" w14:textId="77777777" w:rsidR="00467F6E" w:rsidRPr="00467F6E" w:rsidRDefault="00467F6E" w:rsidP="00622D5B">
            <w:pPr>
              <w:widowControl/>
              <w:numPr>
                <w:ilvl w:val="0"/>
                <w:numId w:val="7"/>
              </w:numPr>
              <w:wordWrap/>
              <w:overflowPunct w:val="0"/>
              <w:autoSpaceDE/>
              <w:autoSpaceDN/>
              <w:adjustRightInd w:val="0"/>
              <w:snapToGrid w:val="0"/>
              <w:spacing w:after="0"/>
              <w:textAlignment w:val="baseline"/>
              <w:rPr>
                <w:rFonts w:eastAsia="맑은 고딕"/>
                <w:szCs w:val="24"/>
                <w:lang w:val="en-GB" w:eastAsia="en-US"/>
              </w:rPr>
            </w:pPr>
            <w:r w:rsidRPr="00467F6E">
              <w:rPr>
                <w:rFonts w:eastAsia="맑은 고딕"/>
                <w:szCs w:val="24"/>
                <w:lang w:val="en-GB" w:eastAsia="en-US"/>
              </w:rPr>
              <w:t>FFS: How to define reference BWP/CC</w:t>
            </w:r>
          </w:p>
          <w:p w14:paraId="1FAA07B8" w14:textId="77777777" w:rsidR="00467F6E" w:rsidRDefault="00467F6E" w:rsidP="00467F6E">
            <w:pPr>
              <w:widowControl/>
              <w:wordWrap/>
              <w:autoSpaceDE/>
              <w:autoSpaceDN/>
              <w:snapToGrid w:val="0"/>
              <w:spacing w:after="0"/>
              <w:rPr>
                <w:sz w:val="22"/>
              </w:rPr>
            </w:pPr>
          </w:p>
          <w:p w14:paraId="5ABAC00C" w14:textId="77777777" w:rsidR="00467F6E" w:rsidRPr="00467F6E" w:rsidRDefault="00467F6E" w:rsidP="00467F6E">
            <w:pPr>
              <w:widowControl/>
              <w:wordWrap/>
              <w:autoSpaceDE/>
              <w:autoSpaceDN/>
              <w:snapToGrid w:val="0"/>
              <w:spacing w:after="0"/>
              <w:rPr>
                <w:rFonts w:ascii="Times" w:hAnsi="Times"/>
                <w:highlight w:val="green"/>
                <w:lang w:val="en-GB" w:eastAsia="en-US"/>
              </w:rPr>
            </w:pPr>
            <w:r w:rsidRPr="00467F6E">
              <w:rPr>
                <w:rFonts w:ascii="Times" w:hAnsi="Times"/>
                <w:b/>
                <w:highlight w:val="green"/>
                <w:lang w:val="en-GB" w:eastAsia="en-US"/>
              </w:rPr>
              <w:t>Agreement</w:t>
            </w:r>
          </w:p>
          <w:p w14:paraId="49666839" w14:textId="77777777" w:rsidR="00467F6E" w:rsidRPr="00467F6E" w:rsidRDefault="00467F6E" w:rsidP="00467F6E">
            <w:pPr>
              <w:widowControl/>
              <w:wordWrap/>
              <w:autoSpaceDE/>
              <w:autoSpaceDN/>
              <w:snapToGrid w:val="0"/>
              <w:spacing w:after="0"/>
              <w:rPr>
                <w:rFonts w:ascii="Times" w:eastAsia="Times New Roman" w:hAnsi="Times"/>
                <w:lang w:val="en-GB" w:eastAsia="en-US"/>
              </w:rPr>
            </w:pPr>
            <w:r w:rsidRPr="00467F6E">
              <w:rPr>
                <w:rFonts w:ascii="Times" w:eastAsia="Times New Roman" w:hAnsi="Times"/>
                <w:lang w:val="en-GB" w:eastAsia="en-US"/>
              </w:rPr>
              <w:t>On Rel.17 unified TCI framework,</w:t>
            </w:r>
            <w:r w:rsidRPr="00467F6E">
              <w:rPr>
                <w:rFonts w:ascii="Times" w:hAnsi="Times"/>
                <w:lang w:val="en-GB" w:eastAsia="ja-JP"/>
              </w:rPr>
              <w:t xml:space="preserve"> confirm the following working assumption as an agreement with a minor refinement highlighted in </w:t>
            </w:r>
            <w:r w:rsidRPr="00467F6E">
              <w:rPr>
                <w:rFonts w:ascii="Times" w:hAnsi="Times"/>
                <w:color w:val="FF0000"/>
                <w:lang w:val="en-GB" w:eastAsia="ja-JP"/>
              </w:rPr>
              <w:t>red</w:t>
            </w:r>
            <w:r w:rsidRPr="00467F6E">
              <w:rPr>
                <w:rFonts w:ascii="Times" w:hAnsi="Times"/>
                <w:lang w:val="en-GB" w:eastAsia="ja-JP"/>
              </w:rPr>
              <w:t xml:space="preserve"> </w:t>
            </w:r>
          </w:p>
          <w:p w14:paraId="78B920B4" w14:textId="77777777" w:rsidR="00467F6E" w:rsidRPr="00467F6E" w:rsidRDefault="00467F6E" w:rsidP="00467F6E">
            <w:pPr>
              <w:widowControl/>
              <w:wordWrap/>
              <w:autoSpaceDE/>
              <w:autoSpaceDN/>
              <w:snapToGrid w:val="0"/>
              <w:spacing w:after="0"/>
              <w:rPr>
                <w:rFonts w:ascii="Times" w:hAnsi="Times"/>
                <w:lang w:val="en-GB" w:eastAsia="ja-JP"/>
              </w:rPr>
            </w:pPr>
            <w:r w:rsidRPr="00467F6E">
              <w:rPr>
                <w:rFonts w:ascii="Times" w:eastAsia="맑은 고딕" w:hAnsi="Times"/>
                <w:szCs w:val="24"/>
                <w:lang w:val="en-GB" w:eastAsia="en-US"/>
              </w:rPr>
              <w:t xml:space="preserve">For common TCI state ID update and activation to provide common QCL information </w:t>
            </w:r>
            <w:r w:rsidRPr="00467F6E">
              <w:rPr>
                <w:rFonts w:ascii="Times" w:eastAsia="맑은 고딕" w:hAnsi="Times"/>
                <w:szCs w:val="24"/>
                <w:lang w:val="en-GB" w:eastAsia="ja-JP"/>
              </w:rPr>
              <w:t xml:space="preserve">at least for UE-dedicated PDCCH/PDSCH </w:t>
            </w:r>
            <w:r w:rsidRPr="00467F6E">
              <w:rPr>
                <w:rFonts w:ascii="Times" w:eastAsia="맑은 고딕" w:hAnsi="Times"/>
                <w:szCs w:val="24"/>
                <w:lang w:val="en-GB" w:eastAsia="en-US"/>
              </w:rPr>
              <w:t xml:space="preserve">and/or common UL TX spatial filter(s) </w:t>
            </w:r>
            <w:r w:rsidRPr="00467F6E">
              <w:rPr>
                <w:rFonts w:ascii="Times" w:eastAsia="맑은 고딕" w:hAnsi="Times"/>
                <w:szCs w:val="24"/>
                <w:lang w:val="en-GB" w:eastAsia="ja-JP"/>
              </w:rPr>
              <w:t xml:space="preserve">at least for UE-dedicated PUSCH/PUCCH </w:t>
            </w:r>
            <w:r w:rsidRPr="00467F6E">
              <w:rPr>
                <w:rFonts w:ascii="Times" w:eastAsia="맑은 고딕" w:hAnsi="Times"/>
                <w:szCs w:val="24"/>
                <w:lang w:val="en-GB" w:eastAsia="en-US"/>
              </w:rPr>
              <w:t xml:space="preserve">across a set of [configured] CCs/BWPs: </w:t>
            </w:r>
          </w:p>
          <w:p w14:paraId="71289CF6" w14:textId="77777777" w:rsidR="00467F6E" w:rsidRPr="00467F6E" w:rsidRDefault="00467F6E" w:rsidP="00622D5B">
            <w:pPr>
              <w:widowControl/>
              <w:numPr>
                <w:ilvl w:val="0"/>
                <w:numId w:val="2"/>
              </w:numPr>
              <w:wordWrap/>
              <w:overflowPunct w:val="0"/>
              <w:autoSpaceDE/>
              <w:autoSpaceDN/>
              <w:adjustRightInd w:val="0"/>
              <w:snapToGrid w:val="0"/>
              <w:spacing w:after="0"/>
              <w:textAlignment w:val="baseline"/>
              <w:rPr>
                <w:rFonts w:ascii="Times" w:eastAsia="맑은 고딕" w:hAnsi="Times"/>
                <w:szCs w:val="24"/>
                <w:lang w:val="en-GB" w:eastAsia="en-US"/>
              </w:rPr>
            </w:pPr>
            <w:r w:rsidRPr="00467F6E">
              <w:rPr>
                <w:rFonts w:ascii="Times" w:eastAsia="맑은 고딕" w:hAnsi="Times"/>
                <w:szCs w:val="24"/>
                <w:lang w:val="en-GB" w:eastAsia="en-US"/>
              </w:rPr>
              <w:t>RRC-configured TCI state pool(s) can be configured in the PDSCH configuration (</w:t>
            </w:r>
            <w:r w:rsidRPr="00467F6E">
              <w:rPr>
                <w:rFonts w:ascii="Times" w:eastAsia="맑은 고딕" w:hAnsi="Times"/>
                <w:i/>
                <w:iCs/>
                <w:szCs w:val="24"/>
                <w:lang w:val="en-GB" w:eastAsia="en-US"/>
              </w:rPr>
              <w:t>PDSCH-Config</w:t>
            </w:r>
            <w:r w:rsidRPr="00467F6E">
              <w:rPr>
                <w:rFonts w:ascii="Times" w:eastAsia="맑은 고딕" w:hAnsi="Times"/>
                <w:szCs w:val="24"/>
                <w:lang w:val="en-GB" w:eastAsia="en-US"/>
              </w:rPr>
              <w:t>) for each BWP/CC as in Rel-15/16</w:t>
            </w:r>
          </w:p>
          <w:p w14:paraId="3E1A8812" w14:textId="77777777" w:rsidR="00467F6E" w:rsidRPr="00467F6E" w:rsidRDefault="00467F6E" w:rsidP="00622D5B">
            <w:pPr>
              <w:widowControl/>
              <w:numPr>
                <w:ilvl w:val="1"/>
                <w:numId w:val="7"/>
              </w:numPr>
              <w:wordWrap/>
              <w:overflowPunct w:val="0"/>
              <w:autoSpaceDE/>
              <w:autoSpaceDN/>
              <w:adjustRightInd w:val="0"/>
              <w:snapToGrid w:val="0"/>
              <w:spacing w:after="0"/>
              <w:textAlignment w:val="baseline"/>
              <w:rPr>
                <w:rFonts w:ascii="Times" w:eastAsia="맑은 고딕" w:hAnsi="Times"/>
                <w:szCs w:val="24"/>
                <w:lang w:val="en-GB" w:eastAsia="en-US"/>
              </w:rPr>
            </w:pPr>
            <w:r w:rsidRPr="00467F6E">
              <w:rPr>
                <w:rFonts w:ascii="Times" w:hAnsi="Times"/>
                <w:szCs w:val="24"/>
                <w:lang w:val="en-GB" w:eastAsia="zh-CN"/>
              </w:rPr>
              <w:lastRenderedPageBreak/>
              <w:t xml:space="preserve">Note: Such </w:t>
            </w:r>
            <w:r w:rsidRPr="00467F6E">
              <w:rPr>
                <w:rFonts w:ascii="Times" w:eastAsia="맑은 고딕" w:hAnsi="Times"/>
                <w:szCs w:val="24"/>
                <w:lang w:val="en-GB" w:eastAsia="en-US"/>
              </w:rPr>
              <w:t>RRC-configured</w:t>
            </w:r>
            <w:r w:rsidRPr="00467F6E">
              <w:rPr>
                <w:rFonts w:ascii="Times" w:hAnsi="Times"/>
                <w:szCs w:val="24"/>
                <w:lang w:val="en-GB" w:eastAsia="zh-CN"/>
              </w:rPr>
              <w:t xml:space="preserve"> TCI state pool(s) configuration doesn’t imply that separate DL/UL TCI state pool is excluded or supported</w:t>
            </w:r>
          </w:p>
          <w:p w14:paraId="1AE2FA60" w14:textId="77777777" w:rsidR="00467F6E" w:rsidRPr="00467F6E" w:rsidRDefault="00467F6E" w:rsidP="00622D5B">
            <w:pPr>
              <w:widowControl/>
              <w:numPr>
                <w:ilvl w:val="0"/>
                <w:numId w:val="2"/>
              </w:numPr>
              <w:wordWrap/>
              <w:overflowPunct w:val="0"/>
              <w:autoSpaceDE/>
              <w:autoSpaceDN/>
              <w:adjustRightInd w:val="0"/>
              <w:snapToGrid w:val="0"/>
              <w:spacing w:after="0"/>
              <w:textAlignment w:val="baseline"/>
              <w:rPr>
                <w:rFonts w:ascii="Times" w:eastAsia="맑은 고딕" w:hAnsi="Times"/>
                <w:szCs w:val="24"/>
                <w:lang w:val="en-GB" w:eastAsia="en-US"/>
              </w:rPr>
            </w:pPr>
            <w:r w:rsidRPr="00467F6E">
              <w:rPr>
                <w:rFonts w:ascii="Times" w:eastAsia="맑은 고딕" w:hAnsi="Times"/>
                <w:szCs w:val="24"/>
                <w:lang w:val="en-GB" w:eastAsia="en-US"/>
              </w:rPr>
              <w:t>RRC-configured TCI state pool(s) can be absent in the PDSCH configuration (</w:t>
            </w:r>
            <w:r w:rsidRPr="00467F6E">
              <w:rPr>
                <w:rFonts w:ascii="Times" w:eastAsia="맑은 고딕" w:hAnsi="Times"/>
                <w:i/>
                <w:iCs/>
                <w:szCs w:val="24"/>
                <w:lang w:val="en-GB" w:eastAsia="en-US"/>
              </w:rPr>
              <w:t>PDSCH-Config</w:t>
            </w:r>
            <w:r w:rsidRPr="00467F6E">
              <w:rPr>
                <w:rFonts w:ascii="Times" w:eastAsia="맑은 고딕" w:hAnsi="Times"/>
                <w:szCs w:val="24"/>
                <w:lang w:val="en-GB" w:eastAsia="en-US"/>
              </w:rPr>
              <w:t>) for each BWP/CC, and replaced with a reference to RRC-configured TCI state pool(s) in a reference BWP/CC</w:t>
            </w:r>
          </w:p>
          <w:p w14:paraId="10ABF491" w14:textId="77777777" w:rsidR="00467F6E" w:rsidRPr="00467F6E" w:rsidRDefault="00467F6E" w:rsidP="00622D5B">
            <w:pPr>
              <w:widowControl/>
              <w:numPr>
                <w:ilvl w:val="1"/>
                <w:numId w:val="7"/>
              </w:numPr>
              <w:wordWrap/>
              <w:overflowPunct w:val="0"/>
              <w:autoSpaceDE/>
              <w:autoSpaceDN/>
              <w:adjustRightInd w:val="0"/>
              <w:snapToGrid w:val="0"/>
              <w:spacing w:after="0"/>
              <w:textAlignment w:val="baseline"/>
              <w:rPr>
                <w:rFonts w:ascii="Times" w:eastAsia="맑은 고딕" w:hAnsi="Times"/>
                <w:szCs w:val="24"/>
                <w:lang w:val="en-GB" w:eastAsia="en-US"/>
              </w:rPr>
            </w:pPr>
            <w:r w:rsidRPr="00467F6E">
              <w:rPr>
                <w:rFonts w:ascii="Times" w:eastAsia="맑은 고딕" w:hAnsi="Times"/>
                <w:szCs w:val="24"/>
                <w:lang w:val="en-GB" w:eastAsia="en-US"/>
              </w:rPr>
              <w:t>In the PDSCH configuration (</w:t>
            </w:r>
            <w:r w:rsidRPr="00467F6E">
              <w:rPr>
                <w:rFonts w:ascii="Times" w:eastAsia="맑은 고딕" w:hAnsi="Times"/>
                <w:i/>
                <w:iCs/>
                <w:szCs w:val="24"/>
                <w:lang w:val="en-GB" w:eastAsia="en-US"/>
              </w:rPr>
              <w:t>PDSCH-Config</w:t>
            </w:r>
            <w:r w:rsidRPr="00467F6E">
              <w:rPr>
                <w:rFonts w:ascii="Times" w:eastAsia="맑은 고딕" w:hAnsi="Times"/>
                <w:szCs w:val="24"/>
                <w:lang w:val="en-GB" w:eastAsia="en-US"/>
              </w:rPr>
              <w:t>) of the reference BWP/CC, RRC-configured TCI state pool(s) shall be configured</w:t>
            </w:r>
          </w:p>
          <w:p w14:paraId="2FD2214A" w14:textId="77777777" w:rsidR="00467F6E" w:rsidRPr="00467F6E" w:rsidRDefault="00467F6E" w:rsidP="00622D5B">
            <w:pPr>
              <w:widowControl/>
              <w:numPr>
                <w:ilvl w:val="1"/>
                <w:numId w:val="7"/>
              </w:numPr>
              <w:wordWrap/>
              <w:overflowPunct w:val="0"/>
              <w:autoSpaceDE/>
              <w:autoSpaceDN/>
              <w:adjustRightInd w:val="0"/>
              <w:snapToGrid w:val="0"/>
              <w:spacing w:after="0"/>
              <w:textAlignment w:val="baseline"/>
              <w:rPr>
                <w:rFonts w:ascii="Times" w:eastAsia="맑은 고딕" w:hAnsi="Times"/>
                <w:szCs w:val="24"/>
                <w:lang w:val="en-GB" w:eastAsia="en-US"/>
              </w:rPr>
            </w:pPr>
            <w:r w:rsidRPr="00467F6E">
              <w:rPr>
                <w:rFonts w:ascii="Times" w:eastAsia="맑은 고딕" w:hAnsi="Times"/>
                <w:szCs w:val="24"/>
                <w:lang w:val="en-GB" w:eastAsia="en-US"/>
              </w:rPr>
              <w:t>For a BWP/CC where the PDSCH configuration contains a reference to the RRC-configured TCI state pool(s) in a reference BWP/CC, the UE applies the RRC-configured TCI state pool(s) in the reference BWP/CC</w:t>
            </w:r>
          </w:p>
          <w:p w14:paraId="2B53D9B8" w14:textId="77777777" w:rsidR="00467F6E" w:rsidRPr="00467F6E" w:rsidRDefault="00467F6E" w:rsidP="00622D5B">
            <w:pPr>
              <w:widowControl/>
              <w:numPr>
                <w:ilvl w:val="0"/>
                <w:numId w:val="2"/>
              </w:numPr>
              <w:wordWrap/>
              <w:overflowPunct w:val="0"/>
              <w:autoSpaceDE/>
              <w:autoSpaceDN/>
              <w:adjustRightInd w:val="0"/>
              <w:snapToGrid w:val="0"/>
              <w:spacing w:after="0"/>
              <w:textAlignment w:val="baseline"/>
              <w:rPr>
                <w:rFonts w:ascii="Times" w:eastAsia="맑은 고딕" w:hAnsi="Times"/>
                <w:szCs w:val="24"/>
                <w:lang w:val="en-GB" w:eastAsia="en-US"/>
              </w:rPr>
            </w:pPr>
            <w:r w:rsidRPr="00467F6E">
              <w:rPr>
                <w:rFonts w:ascii="Times" w:hAnsi="Times"/>
                <w:szCs w:val="24"/>
                <w:lang w:val="en-GB" w:eastAsia="en-US"/>
              </w:rPr>
              <w:t>When the BWP/CC ID (</w:t>
            </w:r>
            <w:r w:rsidRPr="00467F6E">
              <w:rPr>
                <w:rFonts w:ascii="Times" w:hAnsi="Times"/>
                <w:color w:val="FF0000"/>
                <w:szCs w:val="24"/>
                <w:lang w:val="en-GB" w:eastAsia="en-US"/>
              </w:rPr>
              <w:t xml:space="preserve">i.e. </w:t>
            </w:r>
            <w:r w:rsidRPr="00467F6E">
              <w:rPr>
                <w:rFonts w:ascii="Times" w:hAnsi="Times"/>
                <w:i/>
                <w:color w:val="FF0000"/>
                <w:szCs w:val="24"/>
                <w:lang w:val="en-GB" w:eastAsia="en-US"/>
              </w:rPr>
              <w:t>bwp-Id</w:t>
            </w:r>
            <w:r w:rsidRPr="00467F6E">
              <w:rPr>
                <w:rFonts w:ascii="Times" w:hAnsi="Times"/>
                <w:color w:val="FF0000"/>
                <w:szCs w:val="24"/>
                <w:lang w:val="en-GB" w:eastAsia="en-US"/>
              </w:rPr>
              <w:t xml:space="preserve"> or </w:t>
            </w:r>
            <w:r w:rsidRPr="00467F6E">
              <w:rPr>
                <w:rFonts w:ascii="Times" w:hAnsi="Times"/>
                <w:i/>
                <w:iCs/>
                <w:szCs w:val="24"/>
                <w:lang w:val="en-GB" w:eastAsia="en-US"/>
              </w:rPr>
              <w:t>cell</w:t>
            </w:r>
            <w:r w:rsidRPr="00467F6E">
              <w:rPr>
                <w:rFonts w:ascii="Times" w:hAnsi="Times"/>
                <w:szCs w:val="24"/>
                <w:lang w:val="en-GB" w:eastAsia="en-US"/>
              </w:rPr>
              <w:t>) for QCL-Type A/D source RS in a </w:t>
            </w:r>
            <w:r w:rsidRPr="00467F6E">
              <w:rPr>
                <w:rFonts w:ascii="Times" w:hAnsi="Times"/>
                <w:i/>
                <w:iCs/>
                <w:szCs w:val="24"/>
                <w:lang w:val="en-GB" w:eastAsia="en-US"/>
              </w:rPr>
              <w:t>QCL-Info</w:t>
            </w:r>
            <w:r w:rsidRPr="00467F6E">
              <w:rPr>
                <w:rFonts w:ascii="Times" w:hAnsi="Times"/>
                <w:szCs w:val="24"/>
                <w:lang w:val="en-GB" w:eastAsia="en-US"/>
              </w:rPr>
              <w:t> of the TCI state is absent, the UE assumes that QCL-Type A/D source RS is in the BWP/CC to which the TCI state applies</w:t>
            </w:r>
          </w:p>
          <w:p w14:paraId="4AD42669" w14:textId="77777777" w:rsidR="00467F6E" w:rsidRPr="00467F6E" w:rsidRDefault="00467F6E" w:rsidP="00622D5B">
            <w:pPr>
              <w:widowControl/>
              <w:numPr>
                <w:ilvl w:val="0"/>
                <w:numId w:val="2"/>
              </w:numPr>
              <w:wordWrap/>
              <w:overflowPunct w:val="0"/>
              <w:autoSpaceDE/>
              <w:autoSpaceDN/>
              <w:adjustRightInd w:val="0"/>
              <w:snapToGrid w:val="0"/>
              <w:spacing w:after="0"/>
              <w:textAlignment w:val="baseline"/>
              <w:rPr>
                <w:rFonts w:ascii="Times" w:eastAsia="맑은 고딕" w:hAnsi="Times"/>
                <w:szCs w:val="24"/>
                <w:lang w:val="en-GB" w:eastAsia="en-US"/>
              </w:rPr>
            </w:pPr>
            <w:r w:rsidRPr="00467F6E">
              <w:rPr>
                <w:rFonts w:ascii="Times" w:eastAsia="맑은 고딕" w:hAnsi="Times"/>
                <w:szCs w:val="24"/>
                <w:lang w:val="en-GB" w:eastAsia="en-US"/>
              </w:rPr>
              <w:t>Introduce a UE capability to report maximum number of TCI state pools it can support across BWPs and CCs in a band, and the candidate value at least includes 1</w:t>
            </w:r>
          </w:p>
          <w:p w14:paraId="47D25752" w14:textId="77777777" w:rsidR="00467F6E" w:rsidRPr="00467F6E" w:rsidRDefault="00467F6E" w:rsidP="00622D5B">
            <w:pPr>
              <w:widowControl/>
              <w:numPr>
                <w:ilvl w:val="0"/>
                <w:numId w:val="2"/>
              </w:numPr>
              <w:wordWrap/>
              <w:overflowPunct w:val="0"/>
              <w:autoSpaceDE/>
              <w:autoSpaceDN/>
              <w:adjustRightInd w:val="0"/>
              <w:snapToGrid w:val="0"/>
              <w:spacing w:after="0"/>
              <w:textAlignment w:val="baseline"/>
              <w:rPr>
                <w:rFonts w:ascii="Times" w:eastAsia="맑은 고딕" w:hAnsi="Times"/>
                <w:lang w:val="en-GB" w:eastAsia="en-US"/>
              </w:rPr>
            </w:pPr>
            <w:r w:rsidRPr="00467F6E">
              <w:rPr>
                <w:rFonts w:ascii="Times" w:eastAsia="맑은 고딕" w:hAnsi="Times"/>
                <w:szCs w:val="24"/>
                <w:lang w:val="en-GB" w:eastAsia="en-US"/>
              </w:rPr>
              <w:t xml:space="preserve">FFS: Introduce a UE capability to report maximum number of configured TCI states that it can support across BWPs </w:t>
            </w:r>
            <w:r w:rsidRPr="00467F6E">
              <w:rPr>
                <w:rFonts w:ascii="Times" w:eastAsia="맑은 고딕" w:hAnsi="Times"/>
                <w:lang w:val="en-GB" w:eastAsia="en-US"/>
              </w:rPr>
              <w:t>and CCs in a band</w:t>
            </w:r>
          </w:p>
          <w:p w14:paraId="6B6CC213" w14:textId="77777777" w:rsidR="00467F6E" w:rsidRPr="00467F6E" w:rsidRDefault="00467F6E" w:rsidP="00622D5B">
            <w:pPr>
              <w:widowControl/>
              <w:numPr>
                <w:ilvl w:val="0"/>
                <w:numId w:val="2"/>
              </w:numPr>
              <w:wordWrap/>
              <w:overflowPunct w:val="0"/>
              <w:autoSpaceDE/>
              <w:autoSpaceDN/>
              <w:adjustRightInd w:val="0"/>
              <w:snapToGrid w:val="0"/>
              <w:spacing w:after="0"/>
              <w:textAlignment w:val="baseline"/>
              <w:rPr>
                <w:rFonts w:ascii="Times" w:eastAsia="맑은 고딕" w:hAnsi="Times"/>
                <w:lang w:val="en-GB" w:eastAsia="en-US"/>
              </w:rPr>
            </w:pPr>
            <w:r w:rsidRPr="00467F6E">
              <w:rPr>
                <w:rFonts w:ascii="Times" w:eastAsia="맑은 고딕" w:hAnsi="Times"/>
                <w:lang w:val="en-GB" w:eastAsia="en-US"/>
              </w:rPr>
              <w:t>FFS: How to define reference BWP/CC</w:t>
            </w:r>
          </w:p>
          <w:p w14:paraId="465E3236" w14:textId="77777777" w:rsidR="00467F6E" w:rsidRDefault="00467F6E" w:rsidP="00467F6E">
            <w:pPr>
              <w:widowControl/>
              <w:wordWrap/>
              <w:autoSpaceDE/>
              <w:autoSpaceDN/>
              <w:snapToGrid w:val="0"/>
              <w:spacing w:after="0"/>
              <w:rPr>
                <w:sz w:val="22"/>
              </w:rPr>
            </w:pPr>
          </w:p>
          <w:p w14:paraId="56F969F9" w14:textId="77777777" w:rsidR="00467F6E" w:rsidRPr="00467F6E" w:rsidRDefault="00467F6E" w:rsidP="00467F6E">
            <w:pPr>
              <w:widowControl/>
              <w:wordWrap/>
              <w:autoSpaceDE/>
              <w:autoSpaceDN/>
              <w:snapToGrid w:val="0"/>
              <w:spacing w:after="0"/>
              <w:rPr>
                <w:rFonts w:ascii="Times" w:hAnsi="Times"/>
                <w:b/>
                <w:szCs w:val="24"/>
                <w:highlight w:val="green"/>
                <w:lang w:val="en-GB" w:eastAsia="en-US"/>
              </w:rPr>
            </w:pPr>
            <w:r w:rsidRPr="00467F6E">
              <w:rPr>
                <w:rFonts w:ascii="Times" w:hAnsi="Times"/>
                <w:b/>
                <w:szCs w:val="24"/>
                <w:highlight w:val="green"/>
                <w:lang w:val="en-GB" w:eastAsia="en-US"/>
              </w:rPr>
              <w:t>Agreement</w:t>
            </w:r>
          </w:p>
          <w:p w14:paraId="39636015" w14:textId="77777777" w:rsidR="00467F6E" w:rsidRPr="00467F6E" w:rsidRDefault="00467F6E" w:rsidP="00467F6E">
            <w:pPr>
              <w:widowControl/>
              <w:wordWrap/>
              <w:autoSpaceDE/>
              <w:autoSpaceDN/>
              <w:snapToGrid w:val="0"/>
              <w:spacing w:after="0"/>
              <w:rPr>
                <w:rFonts w:ascii="Times" w:hAnsi="Times"/>
                <w:lang w:val="en-GB" w:eastAsia="en-US"/>
              </w:rPr>
            </w:pPr>
            <w:r w:rsidRPr="00467F6E">
              <w:rPr>
                <w:rFonts w:ascii="Times" w:hAnsi="Times"/>
                <w:lang w:val="en-GB" w:eastAsia="en-US"/>
              </w:rPr>
              <w:t xml:space="preserve">On Rel.17 unified TCI framework, remove the brackets and clarify as indicated in </w:t>
            </w:r>
            <w:r w:rsidRPr="00467F6E">
              <w:rPr>
                <w:rFonts w:ascii="Times" w:hAnsi="Times"/>
                <w:color w:val="FF0000"/>
                <w:lang w:val="en-GB" w:eastAsia="en-US"/>
              </w:rPr>
              <w:t xml:space="preserve">red </w:t>
            </w:r>
            <w:r w:rsidRPr="00467F6E">
              <w:rPr>
                <w:rFonts w:ascii="Times" w:hAnsi="Times"/>
                <w:lang w:val="en-GB" w:eastAsia="en-US"/>
              </w:rPr>
              <w:t xml:space="preserve">from the following </w:t>
            </w:r>
            <w:r w:rsidRPr="00467F6E">
              <w:rPr>
                <w:rFonts w:ascii="Times" w:hAnsi="Times"/>
                <w:i/>
                <w:lang w:val="en-GB" w:eastAsia="en-US"/>
              </w:rPr>
              <w:t>previous agreement</w:t>
            </w:r>
            <w:r w:rsidRPr="00467F6E">
              <w:rPr>
                <w:rFonts w:ascii="Times" w:hAnsi="Times"/>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6"/>
            </w:tblGrid>
            <w:tr w:rsidR="00467F6E" w:rsidRPr="00467F6E" w14:paraId="6A8CFFB0" w14:textId="77777777" w:rsidTr="00784A49">
              <w:tc>
                <w:tcPr>
                  <w:tcW w:w="9857" w:type="dxa"/>
                  <w:shd w:val="clear" w:color="auto" w:fill="auto"/>
                </w:tcPr>
                <w:p w14:paraId="3469E251" w14:textId="77777777" w:rsidR="00467F6E" w:rsidRPr="00467F6E" w:rsidRDefault="00467F6E" w:rsidP="00467F6E">
                  <w:pPr>
                    <w:widowControl/>
                    <w:wordWrap/>
                    <w:autoSpaceDE/>
                    <w:autoSpaceDN/>
                    <w:snapToGrid w:val="0"/>
                    <w:spacing w:after="0" w:line="240" w:lineRule="auto"/>
                    <w:rPr>
                      <w:rFonts w:ascii="Times" w:eastAsia="바탕" w:hAnsi="Times" w:cs="Times New Roman"/>
                      <w:i/>
                      <w:kern w:val="0"/>
                      <w:szCs w:val="20"/>
                      <w:lang w:val="en-GB" w:eastAsia="en-US"/>
                    </w:rPr>
                  </w:pPr>
                  <w:r w:rsidRPr="00467F6E">
                    <w:rPr>
                      <w:rFonts w:ascii="Times" w:eastAsia="바탕" w:hAnsi="Times" w:cs="Times New Roman"/>
                      <w:i/>
                      <w:kern w:val="0"/>
                      <w:szCs w:val="20"/>
                      <w:lang w:val="en-GB" w:eastAsia="en-US"/>
                    </w:rPr>
                    <w:t>On Rel-17 unified TCI framework, support common TCI state ID update and activation to provide common QCL information and/or common UL TX spatial filter(s) across a set of configured CCs:</w:t>
                  </w:r>
                </w:p>
                <w:p w14:paraId="5D1C0B5A" w14:textId="77777777" w:rsidR="00467F6E" w:rsidRPr="00467F6E" w:rsidRDefault="00467F6E" w:rsidP="00622D5B">
                  <w:pPr>
                    <w:widowControl/>
                    <w:numPr>
                      <w:ilvl w:val="0"/>
                      <w:numId w:val="5"/>
                    </w:numPr>
                    <w:suppressAutoHyphens/>
                    <w:wordWrap/>
                    <w:overflowPunct w:val="0"/>
                    <w:autoSpaceDE/>
                    <w:autoSpaceDN/>
                    <w:adjustRightInd w:val="0"/>
                    <w:snapToGrid w:val="0"/>
                    <w:spacing w:after="0" w:line="240" w:lineRule="auto"/>
                    <w:jc w:val="left"/>
                    <w:textAlignment w:val="baseline"/>
                    <w:rPr>
                      <w:rFonts w:ascii="Times" w:eastAsia="바탕" w:hAnsi="Times" w:cs="Times New Roman"/>
                      <w:i/>
                      <w:kern w:val="0"/>
                      <w:szCs w:val="20"/>
                      <w:lang w:val="en-GB" w:eastAsia="en-US"/>
                    </w:rPr>
                  </w:pPr>
                  <w:r w:rsidRPr="00467F6E">
                    <w:rPr>
                      <w:rFonts w:ascii="Times" w:eastAsia="바탕" w:hAnsi="Times" w:cs="Times New Roman"/>
                      <w:i/>
                      <w:kern w:val="0"/>
                      <w:szCs w:val="20"/>
                      <w:lang w:val="en-GB" w:eastAsia="en-US"/>
                    </w:rPr>
                    <w:t>…</w:t>
                  </w:r>
                </w:p>
                <w:p w14:paraId="17EC51F1" w14:textId="77777777" w:rsidR="00467F6E" w:rsidRPr="00467F6E" w:rsidRDefault="00467F6E" w:rsidP="00622D5B">
                  <w:pPr>
                    <w:widowControl/>
                    <w:numPr>
                      <w:ilvl w:val="0"/>
                      <w:numId w:val="5"/>
                    </w:numPr>
                    <w:suppressAutoHyphens/>
                    <w:wordWrap/>
                    <w:overflowPunct w:val="0"/>
                    <w:autoSpaceDE/>
                    <w:autoSpaceDN/>
                    <w:adjustRightInd w:val="0"/>
                    <w:snapToGrid w:val="0"/>
                    <w:spacing w:after="0" w:line="240" w:lineRule="auto"/>
                    <w:jc w:val="left"/>
                    <w:textAlignment w:val="baseline"/>
                    <w:rPr>
                      <w:rFonts w:ascii="Times" w:eastAsia="바탕" w:hAnsi="Times" w:cs="Times New Roman"/>
                      <w:i/>
                      <w:kern w:val="0"/>
                      <w:szCs w:val="20"/>
                      <w:lang w:val="en-GB" w:eastAsia="en-US"/>
                    </w:rPr>
                  </w:pPr>
                  <w:r w:rsidRPr="00467F6E">
                    <w:rPr>
                      <w:rFonts w:ascii="Times" w:eastAsia="바탕" w:hAnsi="Times" w:cs="Times New Roman"/>
                      <w:i/>
                      <w:kern w:val="0"/>
                      <w:szCs w:val="20"/>
                      <w:lang w:val="en-GB" w:eastAsia="en-US"/>
                    </w:rPr>
                    <w:t xml:space="preserve">Just as Rel.16, the </w:t>
                  </w:r>
                  <w:r w:rsidRPr="00467F6E">
                    <w:rPr>
                      <w:rFonts w:ascii="Times" w:eastAsia="바탕" w:hAnsi="Times" w:cs="Times New Roman"/>
                      <w:i/>
                      <w:color w:val="FF0000"/>
                      <w:kern w:val="0"/>
                      <w:szCs w:val="20"/>
                      <w:lang w:val="en-GB" w:eastAsia="en-US"/>
                    </w:rPr>
                    <w:t xml:space="preserve">source </w:t>
                  </w:r>
                  <w:r w:rsidRPr="00467F6E">
                    <w:rPr>
                      <w:rFonts w:ascii="Times" w:eastAsia="바탕" w:hAnsi="Times" w:cs="Times New Roman"/>
                      <w:i/>
                      <w:kern w:val="0"/>
                      <w:szCs w:val="20"/>
                      <w:lang w:val="en-GB" w:eastAsia="en-US"/>
                    </w:rPr>
                    <w:t xml:space="preserve">RS in the </w:t>
                  </w:r>
                  <w:r w:rsidRPr="00467F6E">
                    <w:rPr>
                      <w:rFonts w:ascii="Times" w:eastAsia="바탕" w:hAnsi="Times" w:cs="Times New Roman"/>
                      <w:i/>
                      <w:color w:val="FF0000"/>
                      <w:kern w:val="0"/>
                      <w:szCs w:val="20"/>
                      <w:lang w:val="en-GB" w:eastAsia="en-US"/>
                    </w:rPr>
                    <w:t xml:space="preserve">Rel-17 </w:t>
                  </w:r>
                  <w:r w:rsidRPr="00467F6E">
                    <w:rPr>
                      <w:rFonts w:ascii="Times" w:eastAsia="바탕" w:hAnsi="Times" w:cs="Times New Roman"/>
                      <w:i/>
                      <w:kern w:val="0"/>
                      <w:szCs w:val="20"/>
                      <w:lang w:val="en-GB" w:eastAsia="en-US"/>
                    </w:rPr>
                    <w:t xml:space="preserve">TCI state that provides QCL-TypeA </w:t>
                  </w:r>
                  <w:r w:rsidRPr="00467F6E">
                    <w:rPr>
                      <w:rFonts w:ascii="Times" w:eastAsia="바탕" w:hAnsi="Times" w:cs="Times New Roman"/>
                      <w:i/>
                      <w:strike/>
                      <w:color w:val="FF0000"/>
                      <w:kern w:val="0"/>
                      <w:szCs w:val="20"/>
                      <w:lang w:val="en-GB" w:eastAsia="en-US"/>
                    </w:rPr>
                    <w:t>[or QCL-TypeB]</w:t>
                  </w:r>
                  <w:r w:rsidRPr="00467F6E">
                    <w:rPr>
                      <w:rFonts w:ascii="Times" w:eastAsia="바탕" w:hAnsi="Times" w:cs="Times New Roman"/>
                      <w:i/>
                      <w:kern w:val="0"/>
                      <w:szCs w:val="20"/>
                      <w:lang w:val="en-GB" w:eastAsia="en-US"/>
                    </w:rPr>
                    <w:t xml:space="preserve"> shall be in the same CC as the target channel or RS</w:t>
                  </w:r>
                </w:p>
                <w:p w14:paraId="601040A6" w14:textId="77777777" w:rsidR="00467F6E" w:rsidRPr="00467F6E" w:rsidRDefault="00467F6E" w:rsidP="00622D5B">
                  <w:pPr>
                    <w:widowControl/>
                    <w:numPr>
                      <w:ilvl w:val="0"/>
                      <w:numId w:val="5"/>
                    </w:numPr>
                    <w:wordWrap/>
                    <w:overflowPunct w:val="0"/>
                    <w:autoSpaceDE/>
                    <w:autoSpaceDN/>
                    <w:adjustRightInd w:val="0"/>
                    <w:snapToGrid w:val="0"/>
                    <w:spacing w:after="0" w:line="240" w:lineRule="auto"/>
                    <w:contextualSpacing/>
                    <w:jc w:val="left"/>
                    <w:textAlignment w:val="baseline"/>
                    <w:rPr>
                      <w:rFonts w:ascii="Times" w:eastAsia="바탕" w:hAnsi="Times" w:cs="Times New Roman"/>
                      <w:i/>
                      <w:kern w:val="0"/>
                      <w:szCs w:val="24"/>
                      <w:lang w:val="en-GB" w:eastAsia="x-none"/>
                    </w:rPr>
                  </w:pPr>
                  <w:r w:rsidRPr="00467F6E">
                    <w:rPr>
                      <w:rFonts w:ascii="Times" w:eastAsia="바탕" w:hAnsi="Times" w:cs="Times New Roman"/>
                      <w:i/>
                      <w:kern w:val="0"/>
                      <w:szCs w:val="24"/>
                      <w:lang w:val="en-GB" w:eastAsia="x-none"/>
                    </w:rPr>
                    <w:t>…</w:t>
                  </w:r>
                </w:p>
              </w:tc>
            </w:tr>
          </w:tbl>
          <w:p w14:paraId="50C164B9" w14:textId="77777777" w:rsidR="00467F6E" w:rsidRPr="00467F6E" w:rsidRDefault="00467F6E" w:rsidP="00521918">
            <w:pPr>
              <w:pStyle w:val="LGTdoc1"/>
              <w:snapToGrid/>
              <w:spacing w:beforeLines="0" w:before="100" w:beforeAutospacing="1" w:line="360" w:lineRule="auto"/>
              <w:contextualSpacing/>
              <w:rPr>
                <w:sz w:val="22"/>
              </w:rPr>
            </w:pPr>
          </w:p>
        </w:tc>
      </w:tr>
    </w:tbl>
    <w:p w14:paraId="4720A2A5" w14:textId="77777777" w:rsidR="00467F6E" w:rsidRDefault="00467F6E" w:rsidP="00521918">
      <w:pPr>
        <w:pStyle w:val="LGTdoc1"/>
        <w:snapToGrid/>
        <w:spacing w:beforeLines="0" w:before="100" w:beforeAutospacing="1" w:line="360" w:lineRule="auto"/>
        <w:contextualSpacing/>
        <w:rPr>
          <w:b w:val="0"/>
          <w:sz w:val="22"/>
          <w:lang w:val="en-US"/>
        </w:rPr>
      </w:pPr>
    </w:p>
    <w:p w14:paraId="3F29C094" w14:textId="7EFD6321" w:rsidR="004F2DB1" w:rsidRDefault="001B223C" w:rsidP="00361691">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There are two options </w:t>
      </w:r>
      <w:r w:rsidR="00862508">
        <w:rPr>
          <w:b w:val="0"/>
          <w:sz w:val="22"/>
          <w:lang w:val="en-US"/>
        </w:rPr>
        <w:t xml:space="preserve">for </w:t>
      </w:r>
      <w:r>
        <w:rPr>
          <w:b w:val="0"/>
          <w:sz w:val="22"/>
          <w:lang w:val="en-US"/>
        </w:rPr>
        <w:t>common TCI state ID update/activation for CA case</w:t>
      </w:r>
      <w:r w:rsidR="00483F91">
        <w:rPr>
          <w:b w:val="0"/>
          <w:sz w:val="22"/>
          <w:lang w:val="en-US"/>
        </w:rPr>
        <w:t>,</w:t>
      </w:r>
      <w:r>
        <w:rPr>
          <w:b w:val="0"/>
          <w:sz w:val="22"/>
          <w:lang w:val="en-US"/>
        </w:rPr>
        <w:t xml:space="preserve"> which contains common TCI state pool based update/activation and separate TCI state pool per BWP/CC based update/activation.</w:t>
      </w:r>
      <w:r w:rsidR="00064F20">
        <w:rPr>
          <w:b w:val="0"/>
          <w:sz w:val="22"/>
          <w:lang w:val="en-US"/>
        </w:rPr>
        <w:t xml:space="preserve"> On the other hand,</w:t>
      </w:r>
      <w:r w:rsidR="00862508">
        <w:rPr>
          <w:b w:val="0"/>
          <w:sz w:val="22"/>
          <w:lang w:val="en-US"/>
        </w:rPr>
        <w:t xml:space="preserve"> for UL PC,</w:t>
      </w:r>
      <w:r w:rsidR="00064F20">
        <w:rPr>
          <w:b w:val="0"/>
          <w:sz w:val="22"/>
          <w:lang w:val="en-US"/>
        </w:rPr>
        <w:t xml:space="preserve"> uplink power control parameters including P0, alpha, closed-loop index, PL-RS can be included or associated with joint TCI state and/or separate UL TCI state. </w:t>
      </w:r>
      <w:r w:rsidR="00CA5541">
        <w:rPr>
          <w:b w:val="0"/>
          <w:sz w:val="22"/>
          <w:lang w:val="en-US"/>
        </w:rPr>
        <w:t xml:space="preserve">This can also be applied </w:t>
      </w:r>
      <w:r w:rsidR="003D42B7">
        <w:rPr>
          <w:b w:val="0"/>
          <w:sz w:val="22"/>
          <w:lang w:val="en-US"/>
        </w:rPr>
        <w:t>to</w:t>
      </w:r>
      <w:r w:rsidR="00CA5541">
        <w:rPr>
          <w:b w:val="0"/>
          <w:sz w:val="22"/>
          <w:lang w:val="en-US"/>
        </w:rPr>
        <w:t xml:space="preserve"> common TCI state ID update/activation for CA case.</w:t>
      </w:r>
      <w:r w:rsidR="003D42B7">
        <w:rPr>
          <w:b w:val="0"/>
          <w:sz w:val="22"/>
          <w:lang w:val="en-US"/>
        </w:rPr>
        <w:t xml:space="preserve"> We think </w:t>
      </w:r>
      <w:r w:rsidR="00862508">
        <w:rPr>
          <w:b w:val="0"/>
          <w:sz w:val="22"/>
          <w:lang w:val="en-US"/>
        </w:rPr>
        <w:t xml:space="preserve">that </w:t>
      </w:r>
      <w:r w:rsidR="003D42B7">
        <w:rPr>
          <w:b w:val="0"/>
          <w:sz w:val="22"/>
          <w:lang w:val="en-US"/>
        </w:rPr>
        <w:t>there is no issue for the option of separate TCI state pool per BWP/CC based update/activation since power control parameters included or associated with TCI state(s) per BWP/CC can be used for uplink transmission</w:t>
      </w:r>
      <w:r w:rsidR="00862508">
        <w:rPr>
          <w:b w:val="0"/>
          <w:sz w:val="22"/>
          <w:lang w:val="en-US"/>
        </w:rPr>
        <w:t xml:space="preserve"> in respective BWP/CC</w:t>
      </w:r>
      <w:r w:rsidR="003D42B7">
        <w:rPr>
          <w:b w:val="0"/>
          <w:sz w:val="22"/>
          <w:lang w:val="en-US"/>
        </w:rPr>
        <w:t xml:space="preserve">. However, for the other option of common TCI state pool based update/activation, there can be an ambiguity which power control parameters can be used for uplink transmission in the non-reference BWP/CCs. </w:t>
      </w:r>
      <w:r w:rsidR="00862508">
        <w:rPr>
          <w:b w:val="0"/>
          <w:sz w:val="22"/>
          <w:lang w:val="en-US"/>
        </w:rPr>
        <w:t>In our view,</w:t>
      </w:r>
      <w:r w:rsidR="003D42B7">
        <w:rPr>
          <w:b w:val="0"/>
          <w:sz w:val="22"/>
          <w:lang w:val="en-US"/>
        </w:rPr>
        <w:t xml:space="preserve"> it is natural to use </w:t>
      </w:r>
      <w:r w:rsidR="00862508">
        <w:rPr>
          <w:b w:val="0"/>
          <w:sz w:val="22"/>
          <w:lang w:val="en-US"/>
        </w:rPr>
        <w:t xml:space="preserve">the </w:t>
      </w:r>
      <w:r w:rsidR="003D42B7">
        <w:rPr>
          <w:b w:val="0"/>
          <w:sz w:val="22"/>
          <w:lang w:val="en-US"/>
        </w:rPr>
        <w:t>power control parameters included or associated with TCI state(s) in the reference BWP/CC for uplink transmission in the non-reference BWP/CCs</w:t>
      </w:r>
      <w:r w:rsidR="00246013">
        <w:rPr>
          <w:b w:val="0"/>
          <w:sz w:val="22"/>
          <w:lang w:val="en-US"/>
        </w:rPr>
        <w:t>, if configured</w:t>
      </w:r>
      <w:r w:rsidR="003D42B7">
        <w:rPr>
          <w:b w:val="0"/>
          <w:sz w:val="22"/>
          <w:lang w:val="en-US"/>
        </w:rPr>
        <w:t>, in order to enable beam-specific power control.</w:t>
      </w:r>
      <w:r w:rsidR="007642E7">
        <w:rPr>
          <w:b w:val="0"/>
          <w:sz w:val="22"/>
          <w:lang w:val="en-US"/>
        </w:rPr>
        <w:t xml:space="preserve"> We think this should be </w:t>
      </w:r>
      <w:r w:rsidR="00603671">
        <w:rPr>
          <w:b w:val="0"/>
          <w:sz w:val="22"/>
          <w:lang w:val="en-US"/>
        </w:rPr>
        <w:t>specif</w:t>
      </w:r>
      <w:r w:rsidR="00894418">
        <w:rPr>
          <w:rFonts w:hint="eastAsia"/>
          <w:b w:val="0"/>
          <w:sz w:val="22"/>
          <w:lang w:val="en-US"/>
        </w:rPr>
        <w:t>i</w:t>
      </w:r>
      <w:r w:rsidR="00603671">
        <w:rPr>
          <w:b w:val="0"/>
          <w:sz w:val="22"/>
          <w:lang w:val="en-US"/>
        </w:rPr>
        <w:t>ed</w:t>
      </w:r>
      <w:r w:rsidR="007642E7">
        <w:rPr>
          <w:b w:val="0"/>
          <w:sz w:val="22"/>
          <w:lang w:val="en-US"/>
        </w:rPr>
        <w:t xml:space="preserve"> </w:t>
      </w:r>
      <w:r w:rsidR="00603671">
        <w:rPr>
          <w:b w:val="0"/>
          <w:sz w:val="22"/>
          <w:lang w:val="en-US"/>
        </w:rPr>
        <w:t>in TS 38.213 as below.</w:t>
      </w:r>
    </w:p>
    <w:p w14:paraId="12E39076" w14:textId="77777777" w:rsidR="004F2DB1" w:rsidRDefault="004F2DB1" w:rsidP="00521918">
      <w:pPr>
        <w:pStyle w:val="LGTdoc1"/>
        <w:snapToGrid/>
        <w:spacing w:beforeLines="0" w:before="100" w:beforeAutospacing="1" w:line="360" w:lineRule="auto"/>
        <w:contextualSpacing/>
        <w:rPr>
          <w:b w:val="0"/>
          <w:sz w:val="22"/>
          <w:lang w:val="en-US"/>
        </w:rPr>
      </w:pPr>
    </w:p>
    <w:p w14:paraId="5E27C38D" w14:textId="772382FF" w:rsidR="00E01431" w:rsidRPr="00064F20" w:rsidRDefault="00064F20" w:rsidP="00521918">
      <w:pPr>
        <w:pStyle w:val="LGTdoc1"/>
        <w:snapToGrid/>
        <w:spacing w:beforeLines="0" w:before="100" w:beforeAutospacing="1" w:line="360" w:lineRule="auto"/>
        <w:contextualSpacing/>
        <w:rPr>
          <w:sz w:val="22"/>
          <w:lang w:val="en-US"/>
        </w:rPr>
      </w:pPr>
      <w:r w:rsidRPr="00064F20">
        <w:rPr>
          <w:sz w:val="22"/>
          <w:lang w:val="en-US"/>
        </w:rPr>
        <w:t>Proposal #</w:t>
      </w:r>
      <w:r w:rsidR="003A4B70">
        <w:rPr>
          <w:sz w:val="22"/>
          <w:lang w:val="en-US"/>
        </w:rPr>
        <w:t>5</w:t>
      </w:r>
      <w:r w:rsidRPr="00064F20">
        <w:rPr>
          <w:sz w:val="22"/>
          <w:lang w:val="en-US"/>
        </w:rPr>
        <w:t xml:space="preserve">: </w:t>
      </w:r>
      <w:r w:rsidR="007642E7">
        <w:rPr>
          <w:sz w:val="22"/>
          <w:lang w:val="en-US"/>
        </w:rPr>
        <w:t xml:space="preserve">Clarify </w:t>
      </w:r>
      <w:r w:rsidR="003D42B7">
        <w:rPr>
          <w:sz w:val="22"/>
          <w:lang w:val="en-US"/>
        </w:rPr>
        <w:t xml:space="preserve">power control behavior for </w:t>
      </w:r>
      <w:r w:rsidR="003D42B7" w:rsidRPr="003D42B7">
        <w:rPr>
          <w:sz w:val="22"/>
          <w:lang w:val="en-US"/>
        </w:rPr>
        <w:t>common TCI state ID update/activation for CA case</w:t>
      </w:r>
      <w:r w:rsidR="007642E7">
        <w:rPr>
          <w:sz w:val="22"/>
          <w:lang w:val="en-US"/>
        </w:rPr>
        <w:t>, and adopt the following change for Rel-17 multi-beam enhancement</w:t>
      </w:r>
      <w:r w:rsidR="003D42B7">
        <w:rPr>
          <w:sz w:val="22"/>
          <w:lang w:val="en-US"/>
        </w:rPr>
        <w:t>.</w:t>
      </w:r>
    </w:p>
    <w:tbl>
      <w:tblPr>
        <w:tblStyle w:val="a7"/>
        <w:tblW w:w="0" w:type="auto"/>
        <w:tblLook w:val="04A0" w:firstRow="1" w:lastRow="0" w:firstColumn="1" w:lastColumn="0" w:noHBand="0" w:noVBand="1"/>
      </w:tblPr>
      <w:tblGrid>
        <w:gridCol w:w="9016"/>
      </w:tblGrid>
      <w:tr w:rsidR="007642E7" w14:paraId="1A1A1815" w14:textId="77777777" w:rsidTr="007642E7">
        <w:tc>
          <w:tcPr>
            <w:tcW w:w="9016" w:type="dxa"/>
          </w:tcPr>
          <w:p w14:paraId="359C3A43" w14:textId="5BC1B90B" w:rsidR="007642E7" w:rsidRPr="00603671" w:rsidRDefault="00603671" w:rsidP="00603671">
            <w:pPr>
              <w:jc w:val="both"/>
            </w:pPr>
            <w:r w:rsidRPr="00603671">
              <w:rPr>
                <w:rFonts w:hint="eastAsia"/>
              </w:rPr>
              <w:t>TS 38.21</w:t>
            </w:r>
            <w:r w:rsidRPr="00603671">
              <w:t xml:space="preserve">3 </w:t>
            </w:r>
            <w:r w:rsidRPr="00603671">
              <w:rPr>
                <w:rFonts w:hint="eastAsia"/>
              </w:rPr>
              <w:t>(</w:t>
            </w:r>
            <w:r w:rsidRPr="00603671">
              <w:t>section 7</w:t>
            </w:r>
            <w:r w:rsidRPr="00603671">
              <w:rPr>
                <w:rFonts w:hint="eastAsia"/>
              </w:rPr>
              <w:t>)</w:t>
            </w:r>
          </w:p>
          <w:p w14:paraId="16E79E8C" w14:textId="77777777" w:rsidR="00603671" w:rsidRPr="00603671" w:rsidRDefault="00603671" w:rsidP="00603671">
            <w:pPr>
              <w:keepNext/>
              <w:keepLines/>
              <w:widowControl/>
              <w:pBdr>
                <w:top w:val="single" w:sz="12" w:space="3" w:color="auto"/>
              </w:pBdr>
              <w:tabs>
                <w:tab w:val="left" w:pos="1134"/>
              </w:tabs>
              <w:wordWrap/>
              <w:autoSpaceDE/>
              <w:autoSpaceDN/>
              <w:spacing w:before="240"/>
              <w:ind w:left="1134" w:hanging="1134"/>
              <w:outlineLvl w:val="0"/>
              <w:rPr>
                <w:rFonts w:ascii="Arial" w:eastAsia="SimSun" w:hAnsi="Arial"/>
                <w:sz w:val="36"/>
                <w:lang w:val="en-GB" w:eastAsia="en-US"/>
              </w:rPr>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92093807"/>
            <w:r w:rsidRPr="00603671">
              <w:rPr>
                <w:rFonts w:ascii="Arial" w:eastAsia="SimSun" w:hAnsi="Arial"/>
                <w:sz w:val="36"/>
                <w:lang w:val="en-GB" w:eastAsia="en-US"/>
              </w:rPr>
              <w:t>7</w:t>
            </w:r>
            <w:r w:rsidRPr="00603671">
              <w:rPr>
                <w:rFonts w:ascii="Arial" w:eastAsia="SimSun" w:hAnsi="Arial"/>
                <w:sz w:val="36"/>
                <w:lang w:val="en-GB" w:eastAsia="en-US"/>
              </w:rPr>
              <w:tab/>
              <w:t>Uplink Power control</w:t>
            </w:r>
            <w:bookmarkEnd w:id="2"/>
            <w:bookmarkEnd w:id="3"/>
            <w:bookmarkEnd w:id="4"/>
            <w:bookmarkEnd w:id="5"/>
            <w:bookmarkEnd w:id="6"/>
            <w:bookmarkEnd w:id="7"/>
            <w:bookmarkEnd w:id="8"/>
            <w:bookmarkEnd w:id="9"/>
            <w:bookmarkEnd w:id="10"/>
            <w:bookmarkEnd w:id="11"/>
          </w:p>
          <w:p w14:paraId="4EBA190E" w14:textId="77777777" w:rsidR="00603671" w:rsidRPr="0085571F" w:rsidRDefault="00603671" w:rsidP="00603671">
            <w:pPr>
              <w:jc w:val="center"/>
              <w:rPr>
                <w:color w:val="FF0000"/>
              </w:rPr>
            </w:pPr>
            <w:r>
              <w:rPr>
                <w:rFonts w:hint="eastAsia"/>
                <w:color w:val="FF0000"/>
              </w:rPr>
              <w:t>- unchanged part is omitted -</w:t>
            </w:r>
          </w:p>
          <w:p w14:paraId="546010C4" w14:textId="77777777" w:rsidR="00603671" w:rsidRPr="00F415B1" w:rsidRDefault="00603671" w:rsidP="00603671">
            <w:r w:rsidRPr="00F415B1">
              <w:t xml:space="preserve">In the remaining of this clause, if a UE is provided </w:t>
            </w:r>
            <w:r w:rsidRPr="00F415B1">
              <w:rPr>
                <w:i/>
                <w:iCs/>
              </w:rPr>
              <w:t>TCI-State_r17</w:t>
            </w:r>
            <w:r w:rsidRPr="00F415B1">
              <w:t xml:space="preserve"> and for an indicated </w:t>
            </w:r>
            <w:r>
              <w:rPr>
                <w:i/>
                <w:iCs/>
              </w:rPr>
              <w:t>TCI</w:t>
            </w:r>
            <w:r w:rsidRPr="00F415B1">
              <w:rPr>
                <w:i/>
                <w:iCs/>
              </w:rPr>
              <w:t>-State</w:t>
            </w:r>
            <w:r>
              <w:rPr>
                <w:i/>
                <w:iCs/>
              </w:rPr>
              <w:t>_r17</w:t>
            </w:r>
            <w:r w:rsidRPr="00F415B1">
              <w:t xml:space="preserve"> as described in [6, TS 38.214] </w:t>
            </w:r>
          </w:p>
          <w:p w14:paraId="04701183" w14:textId="77777777" w:rsidR="00603671" w:rsidRPr="00F415B1" w:rsidRDefault="00603671" w:rsidP="00603671">
            <w:pPr>
              <w:pStyle w:val="B1"/>
              <w:rPr>
                <w:lang w:val="en-US" w:eastAsia="ko-KR"/>
              </w:rPr>
            </w:pPr>
            <w:r w:rsidRPr="00F415B1">
              <w:lastRenderedPageBreak/>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r>
              <w:rPr>
                <w:i/>
                <w:iCs/>
                <w:lang w:val="en-US"/>
              </w:rPr>
              <w:t>TCI</w:t>
            </w:r>
            <w:r w:rsidRPr="00F415B1">
              <w:rPr>
                <w:i/>
                <w:iCs/>
                <w:lang w:val="en-US"/>
              </w:rPr>
              <w:t>-StateID</w:t>
            </w:r>
            <w:r>
              <w:rPr>
                <w:i/>
                <w:iCs/>
                <w:lang w:val="en-US"/>
              </w:rPr>
              <w:t>_r17</w:t>
            </w:r>
          </w:p>
          <w:p w14:paraId="5A5C8E0E" w14:textId="77777777" w:rsidR="00603671" w:rsidRPr="00F415B1" w:rsidRDefault="00603671" w:rsidP="00603671">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r>
              <w:rPr>
                <w:i/>
                <w:iCs/>
                <w:lang w:val="en-US"/>
              </w:rPr>
              <w:t>TCI</w:t>
            </w:r>
            <w:r w:rsidRPr="00F415B1">
              <w:rPr>
                <w:i/>
                <w:iCs/>
                <w:lang w:val="en-US"/>
              </w:rPr>
              <w:t>-StateID</w:t>
            </w:r>
            <w:r>
              <w:rPr>
                <w:i/>
                <w:iCs/>
                <w:lang w:val="en-US"/>
              </w:rPr>
              <w:t>_r17</w:t>
            </w:r>
          </w:p>
          <w:p w14:paraId="2BC28328" w14:textId="77777777" w:rsidR="00603671" w:rsidRPr="00F415B1" w:rsidRDefault="00603671" w:rsidP="00603671">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r>
              <w:rPr>
                <w:i/>
                <w:iCs/>
                <w:lang w:val="en-US"/>
              </w:rPr>
              <w:t>TCI</w:t>
            </w:r>
            <w:r w:rsidRPr="00F415B1">
              <w:rPr>
                <w:i/>
                <w:iCs/>
                <w:lang w:val="en-US"/>
              </w:rPr>
              <w:t>-StateID</w:t>
            </w:r>
            <w:r>
              <w:rPr>
                <w:i/>
                <w:iCs/>
                <w:lang w:val="en-US"/>
              </w:rPr>
              <w:t>_r17</w:t>
            </w:r>
          </w:p>
          <w:p w14:paraId="602E67BA" w14:textId="77777777" w:rsidR="00603671" w:rsidRDefault="00603671" w:rsidP="00603671">
            <w:pPr>
              <w:pStyle w:val="B1"/>
              <w:rPr>
                <w:i/>
                <w:iCs/>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rPr>
                <w:lang w:val="en-US"/>
              </w:rP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rPr>
                <w:lang w:val="en-US"/>
              </w:rPr>
              <w:t xml:space="preserve">, and </w:t>
            </w:r>
            <w:r>
              <w:rPr>
                <w:lang w:val="en-US"/>
              </w:rPr>
              <w:t>SRS</w:t>
            </w:r>
            <w:r w:rsidRPr="00F415B1">
              <w:t xml:space="preserve">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p0-Alpha-CLID-SRS-Set</w:t>
            </w:r>
            <w:r w:rsidRPr="00F415B1">
              <w:rPr>
                <w:lang w:val="en-US"/>
              </w:rPr>
              <w:t xml:space="preserve"> associated with the indicated </w:t>
            </w:r>
            <w:r>
              <w:rPr>
                <w:i/>
                <w:iCs/>
                <w:lang w:val="en-US"/>
              </w:rPr>
              <w:t>TCI</w:t>
            </w:r>
            <w:r w:rsidRPr="00F415B1">
              <w:rPr>
                <w:i/>
                <w:iCs/>
                <w:lang w:val="en-US"/>
              </w:rPr>
              <w:t>-StateID</w:t>
            </w:r>
            <w:r>
              <w:rPr>
                <w:i/>
                <w:iCs/>
                <w:lang w:val="en-US"/>
              </w:rPr>
              <w:t>_r17</w:t>
            </w:r>
          </w:p>
          <w:p w14:paraId="48341DD2" w14:textId="2F0AC18C" w:rsidR="006F7013" w:rsidRPr="00F415B1" w:rsidRDefault="006F7013" w:rsidP="00603671">
            <w:pPr>
              <w:pStyle w:val="B1"/>
              <w:rPr>
                <w:lang w:val="en-US" w:eastAsia="ko-KR"/>
              </w:rPr>
            </w:pPr>
            <w:r w:rsidRPr="00F415B1">
              <w:t>-</w:t>
            </w:r>
            <w:r w:rsidRPr="00F415B1">
              <w:tab/>
            </w:r>
            <w:r w:rsidRPr="00F415B1">
              <w:rPr>
                <w:lang w:val="en-US"/>
              </w:rPr>
              <w:t xml:space="preserve">in clauses 7.1.1, 7.2.1, and 7.3.1, </w:t>
            </w:r>
            <w:r>
              <w:rPr>
                <w:lang w:val="en-US"/>
              </w:rPr>
              <w:t xml:space="preserve">if </w:t>
            </w:r>
            <w:r w:rsidRPr="000237AA">
              <w:rPr>
                <w:color w:val="000000" w:themeColor="text1"/>
              </w:rPr>
              <w:t xml:space="preserve">the </w:t>
            </w:r>
            <w:r w:rsidRPr="00F415B1">
              <w:rPr>
                <w:i/>
                <w:iCs/>
                <w:lang w:eastAsia="ko-KR"/>
              </w:rPr>
              <w:t>TCI-State_r17</w:t>
            </w:r>
            <w:r w:rsidRPr="000237AA">
              <w:rPr>
                <w:color w:val="000000" w:themeColor="text1"/>
              </w:rPr>
              <w:t xml:space="preserve"> configurations is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w:t>
            </w:r>
            <w:r w:rsidR="006F58A0" w:rsidRPr="00F415B1">
              <w:rPr>
                <w:lang w:val="en-US"/>
              </w:rPr>
              <w:t xml:space="preserve">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006F58A0">
              <w:rPr>
                <w:rFonts w:hint="eastAsia"/>
                <w:iCs/>
                <w:lang w:eastAsia="ko-KR"/>
              </w:rPr>
              <w:t>,</w:t>
            </w:r>
            <w:r w:rsidR="006F58A0" w:rsidRPr="00F415B1">
              <w:rPr>
                <w:iCs/>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6F58A0"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6F58A0" w:rsidRPr="00F415B1">
              <w:rPr>
                <w:lang w:val="en-US"/>
              </w:rPr>
              <w:t xml:space="preserve">, the </w:t>
            </w:r>
            <w:r w:rsidR="006F58A0" w:rsidRPr="00F415B1">
              <w:t xml:space="preserve">PUSCH power control adjustment state </w:t>
            </w:r>
            <m:oMath>
              <m:r>
                <w:rPr>
                  <w:rFonts w:ascii="Cambria Math" w:hAnsi="Cambria Math"/>
                  <w:lang w:val="en-US"/>
                </w:rPr>
                <m:t>l</m:t>
              </m:r>
            </m:oMath>
            <w:r w:rsidR="006F58A0">
              <w:rPr>
                <w:rFonts w:hint="eastAsia"/>
                <w:lang w:val="en-US" w:eastAsia="ko-KR"/>
              </w:rPr>
              <w:t>,</w:t>
            </w:r>
            <w:r w:rsidR="006F58A0"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006F58A0">
              <w:rPr>
                <w:rFonts w:hint="eastAsia"/>
                <w:lang w:eastAsia="ko-KR"/>
              </w:rPr>
              <w:t>,</w:t>
            </w:r>
            <w:r w:rsidR="006F58A0" w:rsidRPr="00F415B1">
              <w:rPr>
                <w:lang w:val="en-US"/>
              </w:rPr>
              <w:t xml:space="preserve"> the </w:t>
            </w:r>
            <w:r w:rsidR="006F58A0" w:rsidRPr="00F415B1">
              <w:t>PU</w:t>
            </w:r>
            <w:r w:rsidR="006F58A0" w:rsidRPr="00F415B1">
              <w:rPr>
                <w:lang w:val="en-US"/>
              </w:rPr>
              <w:t>C</w:t>
            </w:r>
            <w:r w:rsidR="006F58A0" w:rsidRPr="00F415B1">
              <w:t xml:space="preserve">CH power control adjustment state </w:t>
            </w:r>
            <m:oMath>
              <m:r>
                <w:rPr>
                  <w:rFonts w:ascii="Cambria Math" w:hAnsi="Cambria Math"/>
                  <w:lang w:val="en-US"/>
                </w:rPr>
                <m:t>l</m:t>
              </m:r>
            </m:oMath>
            <w:r w:rsidR="006F58A0">
              <w:rPr>
                <w:rFonts w:hint="eastAsia"/>
                <w:lang w:eastAsia="ko-KR"/>
              </w:rPr>
              <w:t>,</w:t>
            </w:r>
            <w:r w:rsidR="006F58A0"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F58A0" w:rsidRPr="00F415B1">
              <w:rPr>
                <w:lang w:val="en-US"/>
              </w:rP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F58A0" w:rsidRPr="00F415B1">
              <w:rPr>
                <w:lang w:val="en-US"/>
              </w:rPr>
              <w:t xml:space="preserve">, and </w:t>
            </w:r>
            <w:r w:rsidR="006F58A0">
              <w:rPr>
                <w:lang w:val="en-US"/>
              </w:rPr>
              <w:t>SRS</w:t>
            </w:r>
            <w:r w:rsidR="006F58A0" w:rsidRPr="00F415B1">
              <w:t xml:space="preserve"> power control adjustment state </w:t>
            </w:r>
            <m:oMath>
              <m:r>
                <w:rPr>
                  <w:rFonts w:ascii="Cambria Math" w:hAnsi="Cambria Math"/>
                  <w:lang w:val="en-US"/>
                </w:rPr>
                <m:t>l</m:t>
              </m:r>
            </m:oMath>
            <w:r w:rsidR="006F58A0" w:rsidDel="006F58A0">
              <w:rPr>
                <w:rStyle w:val="ac"/>
                <w:rFonts w:asciiTheme="minorHAnsi" w:eastAsiaTheme="minorEastAsia" w:hAnsiTheme="minorHAnsi" w:cstheme="minorBidi"/>
                <w:kern w:val="2"/>
                <w:lang w:val="en-US" w:eastAsia="ko-KR"/>
              </w:rPr>
              <w:t xml:space="preserve"> </w:t>
            </w:r>
            <w:r w:rsidR="009371A2" w:rsidRPr="00F415B1">
              <w:rPr>
                <w:iCs/>
                <w:lang w:val="en-US"/>
              </w:rPr>
              <w:t xml:space="preserve">associated with or included in the </w:t>
            </w:r>
            <w:r w:rsidR="009371A2" w:rsidRPr="00F415B1">
              <w:rPr>
                <w:lang w:eastAsia="ko-KR"/>
              </w:rPr>
              <w:t xml:space="preserve">indicated </w:t>
            </w:r>
            <w:r w:rsidR="009371A2">
              <w:rPr>
                <w:i/>
                <w:iCs/>
                <w:lang w:val="en-US"/>
              </w:rPr>
              <w:t>TCI</w:t>
            </w:r>
            <w:r w:rsidR="009371A2" w:rsidRPr="00F415B1">
              <w:rPr>
                <w:i/>
                <w:iCs/>
                <w:lang w:val="en-US"/>
              </w:rPr>
              <w:t>-StateID</w:t>
            </w:r>
            <w:r w:rsidR="009371A2">
              <w:rPr>
                <w:i/>
                <w:iCs/>
                <w:lang w:val="en-US"/>
              </w:rPr>
              <w:t xml:space="preserve">_r17 </w:t>
            </w:r>
            <w:r>
              <w:rPr>
                <w:color w:val="000000" w:themeColor="text1"/>
              </w:rPr>
              <w:t xml:space="preserve">from a reference BWP of a </w:t>
            </w:r>
            <w:r w:rsidRPr="000237AA">
              <w:rPr>
                <w:color w:val="000000" w:themeColor="text1"/>
              </w:rPr>
              <w:t>reference CC</w:t>
            </w:r>
          </w:p>
          <w:p w14:paraId="73803FBD" w14:textId="59EAF6F7" w:rsidR="00603671" w:rsidRPr="00603671" w:rsidRDefault="00603671" w:rsidP="00603671">
            <w:pPr>
              <w:jc w:val="center"/>
              <w:rPr>
                <w:color w:val="FF0000"/>
              </w:rPr>
            </w:pPr>
            <w:r>
              <w:rPr>
                <w:rFonts w:hint="eastAsia"/>
                <w:color w:val="FF0000"/>
              </w:rPr>
              <w:t>- unchanged part is omitted -</w:t>
            </w:r>
          </w:p>
        </w:tc>
      </w:tr>
    </w:tbl>
    <w:p w14:paraId="1FCCF21B" w14:textId="77777777" w:rsidR="007642E7" w:rsidRDefault="007642E7" w:rsidP="00521918">
      <w:pPr>
        <w:pStyle w:val="LGTdoc1"/>
        <w:snapToGrid/>
        <w:spacing w:beforeLines="0" w:before="100" w:beforeAutospacing="1" w:line="360" w:lineRule="auto"/>
        <w:contextualSpacing/>
        <w:rPr>
          <w:b w:val="0"/>
          <w:sz w:val="22"/>
          <w:lang w:val="en-US"/>
        </w:rPr>
      </w:pPr>
    </w:p>
    <w:p w14:paraId="3C91B74A" w14:textId="108C4CB6" w:rsidR="0063690C" w:rsidRDefault="00576448" w:rsidP="00A762CD">
      <w:pPr>
        <w:pStyle w:val="1"/>
        <w:numPr>
          <w:ilvl w:val="1"/>
          <w:numId w:val="1"/>
        </w:numPr>
        <w:tabs>
          <w:tab w:val="left" w:pos="851"/>
        </w:tabs>
        <w:ind w:left="851" w:hanging="809"/>
      </w:pPr>
      <w:r>
        <w:t xml:space="preserve">[Issue 3] </w:t>
      </w:r>
      <w:r w:rsidR="0063690C">
        <w:t>Dynamic TCI state update signaling medium</w:t>
      </w:r>
    </w:p>
    <w:p w14:paraId="5363EAA5" w14:textId="5C8E80BC" w:rsidR="009B64C8" w:rsidRDefault="009B64C8" w:rsidP="009B64C8">
      <w:pPr>
        <w:pStyle w:val="LGTdoc1"/>
        <w:snapToGrid/>
        <w:spacing w:beforeLines="0" w:before="100" w:beforeAutospacing="1" w:line="360" w:lineRule="auto"/>
        <w:contextualSpacing/>
        <w:rPr>
          <w:sz w:val="22"/>
          <w:lang w:val="en-US"/>
        </w:rPr>
      </w:pPr>
      <w:r w:rsidRPr="006A1968">
        <w:rPr>
          <w:sz w:val="22"/>
          <w:lang w:val="en-US"/>
        </w:rPr>
        <w:t>I</w:t>
      </w:r>
      <w:r w:rsidRPr="006A1968">
        <w:rPr>
          <w:rFonts w:hint="eastAsia"/>
          <w:sz w:val="22"/>
          <w:lang w:val="en-US"/>
        </w:rPr>
        <w:t>ssue</w:t>
      </w:r>
      <w:r w:rsidR="00B373D4">
        <w:rPr>
          <w:sz w:val="22"/>
          <w:lang w:val="en-US"/>
        </w:rPr>
        <w:t xml:space="preserve"> </w:t>
      </w:r>
      <w:r w:rsidR="00FB079E">
        <w:rPr>
          <w:sz w:val="22"/>
          <w:lang w:val="en-US"/>
        </w:rPr>
        <w:t>3-1</w:t>
      </w:r>
      <w:r w:rsidRPr="006A1968">
        <w:rPr>
          <w:sz w:val="22"/>
          <w:lang w:val="en-US"/>
        </w:rPr>
        <w:t xml:space="preserve">: </w:t>
      </w:r>
      <w:r w:rsidR="00D94F2B">
        <w:rPr>
          <w:sz w:val="22"/>
          <w:lang w:val="en-US"/>
        </w:rPr>
        <w:t xml:space="preserve">Whether to </w:t>
      </w:r>
      <w:r w:rsidR="00A73B36">
        <w:rPr>
          <w:sz w:val="22"/>
          <w:lang w:val="en-US"/>
        </w:rPr>
        <w:t>support a second configured BAT</w:t>
      </w:r>
    </w:p>
    <w:tbl>
      <w:tblPr>
        <w:tblStyle w:val="a7"/>
        <w:tblW w:w="0" w:type="auto"/>
        <w:tblLook w:val="04A0" w:firstRow="1" w:lastRow="0" w:firstColumn="1" w:lastColumn="0" w:noHBand="0" w:noVBand="1"/>
      </w:tblPr>
      <w:tblGrid>
        <w:gridCol w:w="9016"/>
      </w:tblGrid>
      <w:tr w:rsidR="009B64C8" w14:paraId="21A502B1" w14:textId="77777777" w:rsidTr="009B64C8">
        <w:tc>
          <w:tcPr>
            <w:tcW w:w="9016" w:type="dxa"/>
          </w:tcPr>
          <w:p w14:paraId="1D789F0E" w14:textId="77777777" w:rsidR="009B64C8" w:rsidRPr="009B64C8" w:rsidRDefault="009B64C8" w:rsidP="009B64C8">
            <w:pPr>
              <w:widowControl/>
              <w:wordWrap/>
              <w:autoSpaceDE/>
              <w:autoSpaceDN/>
              <w:snapToGrid w:val="0"/>
              <w:spacing w:after="0"/>
              <w:rPr>
                <w:rFonts w:eastAsia="맑은 고딕"/>
                <w:b/>
                <w:bCs/>
                <w:color w:val="000000"/>
                <w:lang w:val="en-GB"/>
              </w:rPr>
            </w:pPr>
            <w:r w:rsidRPr="009B64C8">
              <w:rPr>
                <w:rFonts w:eastAsia="맑은 고딕"/>
                <w:b/>
                <w:bCs/>
                <w:color w:val="000000"/>
                <w:highlight w:val="green"/>
                <w:lang w:val="en-GB"/>
              </w:rPr>
              <w:t>Agreement</w:t>
            </w:r>
            <w:r w:rsidRPr="009B64C8">
              <w:rPr>
                <w:rFonts w:eastAsia="맑은 고딕"/>
                <w:b/>
                <w:bCs/>
                <w:color w:val="000000"/>
                <w:lang w:val="en-GB"/>
              </w:rPr>
              <w:t xml:space="preserve"> </w:t>
            </w:r>
          </w:p>
          <w:p w14:paraId="377A939C" w14:textId="77777777" w:rsidR="009B64C8" w:rsidRPr="009B64C8" w:rsidRDefault="009B64C8" w:rsidP="009B64C8">
            <w:pPr>
              <w:widowControl/>
              <w:wordWrap/>
              <w:autoSpaceDE/>
              <w:autoSpaceDN/>
              <w:snapToGrid w:val="0"/>
              <w:spacing w:after="0"/>
              <w:rPr>
                <w:rFonts w:ascii="Times" w:eastAsia="맑은 고딕" w:hAnsi="Times"/>
                <w:szCs w:val="24"/>
                <w:lang w:val="en-GB" w:eastAsia="zh-CN"/>
              </w:rPr>
            </w:pPr>
            <w:r w:rsidRPr="009B64C8">
              <w:rPr>
                <w:rFonts w:ascii="Times" w:eastAsia="맑은 고딕" w:hAnsi="Times"/>
                <w:szCs w:val="24"/>
                <w:lang w:val="en-GB" w:eastAsia="zh-CN"/>
              </w:rPr>
              <w:t>On Rel-17 DCI-based beam indication, regarding application time of the beam indication, the UE can assume that one beam application time (BAT) for a given SCS is configured for all the CCs configured with the common TCI state ID update,</w:t>
            </w:r>
          </w:p>
          <w:p w14:paraId="747D91FF" w14:textId="77777777" w:rsidR="009B64C8" w:rsidRPr="009B64C8" w:rsidRDefault="009B64C8" w:rsidP="009B64C8">
            <w:pPr>
              <w:widowControl/>
              <w:numPr>
                <w:ilvl w:val="0"/>
                <w:numId w:val="10"/>
              </w:numPr>
              <w:wordWrap/>
              <w:autoSpaceDE/>
              <w:autoSpaceDN/>
              <w:snapToGrid w:val="0"/>
              <w:spacing w:after="0"/>
              <w:rPr>
                <w:rFonts w:ascii="Times" w:eastAsia="맑은 고딕" w:hAnsi="Times"/>
                <w:szCs w:val="24"/>
                <w:lang w:val="en-GB" w:eastAsia="zh-CN"/>
              </w:rPr>
            </w:pPr>
            <w:r w:rsidRPr="009B64C8">
              <w:rPr>
                <w:rFonts w:ascii="Times" w:eastAsia="맑은 고딕" w:hAnsi="Times"/>
                <w:szCs w:val="24"/>
                <w:lang w:val="en-GB" w:eastAsia="zh-CN"/>
              </w:rPr>
              <w:t>Note: It was agreed that the BAT associated with the carrier(s) (hence BWP(s)/CC(s)) on which the beam indication applies is determined based on the carrier with the smallest SCS among the carrier(s) (hence BWP(s)/CC(s)) applying the beam indication</w:t>
            </w:r>
          </w:p>
          <w:p w14:paraId="1056EB09" w14:textId="77777777" w:rsidR="009B64C8" w:rsidRPr="009B64C8" w:rsidRDefault="009B64C8" w:rsidP="009B64C8">
            <w:pPr>
              <w:widowControl/>
              <w:numPr>
                <w:ilvl w:val="0"/>
                <w:numId w:val="10"/>
              </w:numPr>
              <w:wordWrap/>
              <w:autoSpaceDE/>
              <w:autoSpaceDN/>
              <w:snapToGrid w:val="0"/>
              <w:spacing w:after="0"/>
              <w:rPr>
                <w:rFonts w:ascii="Times" w:eastAsia="맑은 고딕" w:hAnsi="Times"/>
                <w:szCs w:val="24"/>
                <w:lang w:val="en-GB" w:eastAsia="zh-CN"/>
              </w:rPr>
            </w:pPr>
            <w:r w:rsidRPr="009B64C8">
              <w:rPr>
                <w:rFonts w:ascii="Times" w:eastAsia="맑은 고딕" w:hAnsi="Times"/>
                <w:szCs w:val="24"/>
                <w:lang w:val="en-GB" w:eastAsia="zh-CN"/>
              </w:rPr>
              <w:t>TBD (maintenance): whether a second configured BAT is also supported, e.g. for MPUE or inter-cell BM</w:t>
            </w:r>
          </w:p>
          <w:p w14:paraId="7183746F" w14:textId="61897A16" w:rsidR="009B64C8" w:rsidRPr="009B64C8" w:rsidRDefault="009B64C8" w:rsidP="009B64C8">
            <w:pPr>
              <w:widowControl/>
              <w:numPr>
                <w:ilvl w:val="0"/>
                <w:numId w:val="10"/>
              </w:numPr>
              <w:wordWrap/>
              <w:autoSpaceDE/>
              <w:autoSpaceDN/>
              <w:snapToGrid w:val="0"/>
              <w:spacing w:after="0"/>
              <w:rPr>
                <w:rFonts w:ascii="Times" w:eastAsia="맑은 고딕" w:hAnsi="Times"/>
                <w:szCs w:val="24"/>
                <w:lang w:val="en-GB" w:eastAsia="zh-CN"/>
              </w:rPr>
            </w:pPr>
            <w:r w:rsidRPr="009B64C8">
              <w:rPr>
                <w:rFonts w:ascii="Times" w:eastAsia="맑은 고딕" w:hAnsi="Times"/>
                <w:szCs w:val="24"/>
                <w:lang w:val="en-GB" w:eastAsia="zh-CN"/>
              </w:rPr>
              <w:t>The detailed signalling of the BAT is up to RAN2</w:t>
            </w:r>
          </w:p>
          <w:p w14:paraId="624C3BF5" w14:textId="129488AA" w:rsidR="009B64C8" w:rsidRPr="009B64C8" w:rsidRDefault="009B64C8" w:rsidP="009B64C8">
            <w:pPr>
              <w:widowControl/>
              <w:numPr>
                <w:ilvl w:val="0"/>
                <w:numId w:val="10"/>
              </w:numPr>
              <w:wordWrap/>
              <w:autoSpaceDE/>
              <w:autoSpaceDN/>
              <w:snapToGrid w:val="0"/>
              <w:spacing w:after="0"/>
              <w:rPr>
                <w:rFonts w:ascii="Times" w:eastAsia="맑은 고딕" w:hAnsi="Times"/>
                <w:szCs w:val="24"/>
                <w:lang w:val="en-GB" w:eastAsia="zh-CN"/>
              </w:rPr>
            </w:pPr>
            <w:r w:rsidRPr="009B64C8">
              <w:rPr>
                <w:rFonts w:ascii="Times" w:eastAsia="맑은 고딕" w:hAnsi="Times"/>
                <w:szCs w:val="24"/>
                <w:lang w:val="en-GB" w:eastAsia="zh-CN"/>
              </w:rPr>
              <w:t>FFS: For CC(s) not configured with a common TCI state ID update</w:t>
            </w:r>
          </w:p>
        </w:tc>
      </w:tr>
    </w:tbl>
    <w:p w14:paraId="7C0D8F95" w14:textId="77777777" w:rsidR="003A4B70" w:rsidRDefault="003A4B70" w:rsidP="003A4B70">
      <w:pPr>
        <w:pStyle w:val="LGTdoc1"/>
        <w:snapToGrid/>
        <w:spacing w:beforeLines="0" w:before="100" w:beforeAutospacing="1" w:line="360" w:lineRule="auto"/>
        <w:ind w:firstLineChars="146" w:firstLine="321"/>
        <w:contextualSpacing/>
        <w:rPr>
          <w:b w:val="0"/>
          <w:sz w:val="22"/>
          <w:lang w:val="en-US"/>
        </w:rPr>
      </w:pPr>
      <w:r w:rsidRPr="00A762CD">
        <w:rPr>
          <w:b w:val="0"/>
          <w:sz w:val="22"/>
          <w:lang w:val="en-US"/>
        </w:rPr>
        <w:t>I</w:t>
      </w:r>
      <w:r w:rsidRPr="00A762CD">
        <w:rPr>
          <w:rFonts w:hint="eastAsia"/>
          <w:b w:val="0"/>
          <w:sz w:val="22"/>
          <w:lang w:val="en-US"/>
        </w:rPr>
        <w:t xml:space="preserve">n </w:t>
      </w:r>
      <w:r w:rsidRPr="00A762CD">
        <w:rPr>
          <w:b w:val="0"/>
          <w:sz w:val="22"/>
          <w:lang w:val="en-US"/>
        </w:rPr>
        <w:t>RAN1#10</w:t>
      </w:r>
      <w:r>
        <w:rPr>
          <w:b w:val="0"/>
          <w:sz w:val="22"/>
          <w:lang w:val="en-US"/>
        </w:rPr>
        <w:t>7</w:t>
      </w:r>
      <w:r w:rsidRPr="00A762CD">
        <w:rPr>
          <w:b w:val="0"/>
          <w:sz w:val="22"/>
          <w:lang w:val="en-US"/>
        </w:rPr>
        <w:t xml:space="preserve">-e meeting, </w:t>
      </w:r>
      <w:r>
        <w:rPr>
          <w:b w:val="0"/>
          <w:sz w:val="22"/>
          <w:lang w:val="en-US"/>
        </w:rPr>
        <w:t xml:space="preserve">an agreement was made for single BAT for CCs configured with the common TCI state ID update. In addition to this, it has discussed whether to specify a second configured BAT for MP-UE/inter-cell BM. For MP-UE, it is not always possible for UE to activate multiple panels simultaneously due to the power consumption issue and panel switching leads an additional latency for a single BAT configuration. Based on the above understanding, adopting two BATs for MP-UE is preferred for inter-panel beam indication. Otherwise, UE have to report the BAT value assuming the worst case which would delay the whole beam update timing. </w:t>
      </w:r>
    </w:p>
    <w:p w14:paraId="2F4A4F80" w14:textId="77777777" w:rsidR="003A4B70" w:rsidRDefault="003A4B70" w:rsidP="003A4B70">
      <w:pPr>
        <w:pStyle w:val="LGTdoc1"/>
        <w:snapToGrid/>
        <w:spacing w:beforeLines="0" w:before="100" w:beforeAutospacing="1" w:line="360" w:lineRule="auto"/>
        <w:contextualSpacing/>
        <w:rPr>
          <w:b w:val="0"/>
          <w:sz w:val="22"/>
          <w:lang w:val="en-US"/>
        </w:rPr>
      </w:pPr>
    </w:p>
    <w:p w14:paraId="50D8AB74" w14:textId="51EE9ED0" w:rsidR="003A4B70" w:rsidRPr="008130C6" w:rsidRDefault="003A4B70" w:rsidP="003A4B70">
      <w:pPr>
        <w:pStyle w:val="LGTdoc1"/>
        <w:snapToGrid/>
        <w:spacing w:beforeLines="0" w:before="100" w:beforeAutospacing="1" w:line="360" w:lineRule="auto"/>
        <w:contextualSpacing/>
        <w:rPr>
          <w:sz w:val="22"/>
          <w:lang w:val="en-US"/>
        </w:rPr>
      </w:pPr>
      <w:r w:rsidRPr="008130C6">
        <w:rPr>
          <w:rFonts w:hint="eastAsia"/>
          <w:sz w:val="22"/>
          <w:lang w:val="en-US"/>
        </w:rPr>
        <w:t>Proposal</w:t>
      </w:r>
      <w:r w:rsidRPr="008130C6">
        <w:rPr>
          <w:sz w:val="22"/>
          <w:lang w:val="en-US"/>
        </w:rPr>
        <w:t xml:space="preserve"> </w:t>
      </w:r>
      <w:r w:rsidRPr="008130C6">
        <w:rPr>
          <w:rFonts w:hint="eastAsia"/>
          <w:sz w:val="22"/>
          <w:lang w:val="en-US"/>
        </w:rPr>
        <w:t>#</w:t>
      </w:r>
      <w:r>
        <w:rPr>
          <w:sz w:val="22"/>
          <w:lang w:val="en-US"/>
        </w:rPr>
        <w:t>6</w:t>
      </w:r>
      <w:r w:rsidRPr="008130C6">
        <w:rPr>
          <w:rFonts w:hint="eastAsia"/>
          <w:sz w:val="22"/>
          <w:lang w:val="en-US"/>
        </w:rPr>
        <w:t xml:space="preserve">: </w:t>
      </w:r>
      <w:r w:rsidRPr="008130C6">
        <w:rPr>
          <w:sz w:val="22"/>
          <w:lang w:val="en-US"/>
        </w:rPr>
        <w:t>Support a second configured BAT</w:t>
      </w:r>
      <w:r>
        <w:rPr>
          <w:sz w:val="22"/>
          <w:lang w:val="en-US"/>
        </w:rPr>
        <w:t xml:space="preserve"> for MP-UE.</w:t>
      </w:r>
      <w:r w:rsidRPr="008130C6">
        <w:rPr>
          <w:sz w:val="22"/>
          <w:lang w:val="en-US"/>
        </w:rPr>
        <w:t xml:space="preserve"> </w:t>
      </w:r>
    </w:p>
    <w:p w14:paraId="233665B2" w14:textId="77777777" w:rsidR="003A4B70" w:rsidRDefault="003A4B70" w:rsidP="003A4B70">
      <w:pPr>
        <w:pStyle w:val="LGTdoc1"/>
        <w:snapToGrid/>
        <w:spacing w:beforeLines="0" w:before="100" w:beforeAutospacing="1" w:line="360" w:lineRule="auto"/>
        <w:contextualSpacing/>
        <w:rPr>
          <w:sz w:val="22"/>
          <w:lang w:val="en-US"/>
        </w:rPr>
      </w:pPr>
    </w:p>
    <w:p w14:paraId="78E82E5C" w14:textId="77777777" w:rsidR="003A4B70" w:rsidRPr="00105076" w:rsidRDefault="003A4B70" w:rsidP="003A4B70">
      <w:pPr>
        <w:pStyle w:val="LGTdoc1"/>
        <w:snapToGrid/>
        <w:spacing w:beforeLines="0" w:before="100" w:beforeAutospacing="1" w:line="360" w:lineRule="auto"/>
        <w:contextualSpacing/>
        <w:rPr>
          <w:sz w:val="22"/>
          <w:lang w:val="en-US"/>
        </w:rPr>
      </w:pPr>
      <w:r w:rsidRPr="006A1968">
        <w:rPr>
          <w:sz w:val="22"/>
          <w:lang w:val="en-US"/>
        </w:rPr>
        <w:t>I</w:t>
      </w:r>
      <w:r w:rsidRPr="006A1968">
        <w:rPr>
          <w:rFonts w:hint="eastAsia"/>
          <w:sz w:val="22"/>
          <w:lang w:val="en-US"/>
        </w:rPr>
        <w:t>ssue</w:t>
      </w:r>
      <w:r>
        <w:rPr>
          <w:sz w:val="22"/>
          <w:lang w:val="en-US"/>
        </w:rPr>
        <w:t xml:space="preserve"> 3-2</w:t>
      </w:r>
      <w:r w:rsidRPr="006A1968">
        <w:rPr>
          <w:sz w:val="22"/>
          <w:lang w:val="en-US"/>
        </w:rPr>
        <w:t xml:space="preserve">: </w:t>
      </w:r>
      <w:r>
        <w:rPr>
          <w:sz w:val="22"/>
          <w:lang w:val="en-US"/>
        </w:rPr>
        <w:t>BAT for CC(s) not configured with a common TCI state ID update</w:t>
      </w:r>
    </w:p>
    <w:p w14:paraId="09CC6426" w14:textId="7E47714F" w:rsidR="00D94F2B" w:rsidRDefault="003A4B70" w:rsidP="003A4B70">
      <w:pPr>
        <w:pStyle w:val="LGTdoc1"/>
        <w:snapToGrid/>
        <w:spacing w:beforeLines="0" w:before="100" w:beforeAutospacing="1" w:line="360" w:lineRule="auto"/>
        <w:ind w:firstLineChars="146" w:firstLine="321"/>
        <w:contextualSpacing/>
        <w:rPr>
          <w:b w:val="0"/>
          <w:sz w:val="22"/>
          <w:lang w:val="en-US"/>
        </w:rPr>
      </w:pPr>
      <w:r>
        <w:rPr>
          <w:b w:val="0"/>
          <w:sz w:val="22"/>
          <w:lang w:val="en-US"/>
        </w:rPr>
        <w:t>Regarding BAT for CA above, the remaining problem is for configuring BAT when common TCI state ID update is not configured on a certain CC(s) and it has been discussed in offline discussion as follows.</w:t>
      </w:r>
    </w:p>
    <w:tbl>
      <w:tblPr>
        <w:tblStyle w:val="a7"/>
        <w:tblW w:w="0" w:type="auto"/>
        <w:tblLook w:val="04A0" w:firstRow="1" w:lastRow="0" w:firstColumn="1" w:lastColumn="0" w:noHBand="0" w:noVBand="1"/>
      </w:tblPr>
      <w:tblGrid>
        <w:gridCol w:w="9016"/>
      </w:tblGrid>
      <w:tr w:rsidR="00105076" w14:paraId="57DC5140" w14:textId="77777777" w:rsidTr="00105076">
        <w:tc>
          <w:tcPr>
            <w:tcW w:w="9016" w:type="dxa"/>
          </w:tcPr>
          <w:p w14:paraId="7C689FDE" w14:textId="77777777" w:rsidR="00105076" w:rsidRPr="00590ABF" w:rsidRDefault="00105076" w:rsidP="00105076">
            <w:pPr>
              <w:snapToGrid w:val="0"/>
              <w:spacing w:after="0"/>
              <w:rPr>
                <w:lang w:val="en-GB"/>
              </w:rPr>
            </w:pPr>
            <w:r w:rsidRPr="00590ABF">
              <w:rPr>
                <w:b/>
                <w:u w:val="single"/>
              </w:rPr>
              <w:lastRenderedPageBreak/>
              <w:t>Offline proposal 3.2B</w:t>
            </w:r>
            <w:r w:rsidRPr="00590ABF">
              <w:t>:</w:t>
            </w:r>
            <w:r w:rsidRPr="00590ABF">
              <w:rPr>
                <w:rFonts w:eastAsia="맑은 고딕"/>
                <w:lang w:val="en-GB" w:eastAsia="zh-CN"/>
              </w:rPr>
              <w:t xml:space="preserve"> On Rel-17 DCI-based beam indication, regarding application time of the beam indication for CA, in RAN1#108-e, </w:t>
            </w:r>
            <w:r w:rsidRPr="00590ABF">
              <w:rPr>
                <w:lang w:val="en-GB"/>
              </w:rPr>
              <w:t>further discuss and select one from the following alternatives for BAT configuration across CCs when common TCI state ID update is not configured/supported:</w:t>
            </w:r>
          </w:p>
          <w:p w14:paraId="54C9F62B" w14:textId="77777777" w:rsidR="00105076" w:rsidRPr="00590ABF" w:rsidRDefault="00105076" w:rsidP="00105076">
            <w:pPr>
              <w:pStyle w:val="a6"/>
              <w:widowControl/>
              <w:numPr>
                <w:ilvl w:val="0"/>
                <w:numId w:val="21"/>
              </w:numPr>
              <w:wordWrap/>
              <w:autoSpaceDE/>
              <w:autoSpaceDN/>
              <w:snapToGrid w:val="0"/>
              <w:spacing w:after="0"/>
              <w:ind w:leftChars="0"/>
              <w:contextualSpacing/>
            </w:pPr>
            <w:r w:rsidRPr="00590ABF">
              <w:t xml:space="preserve">Alt1. The BAT is configured per-CC </w:t>
            </w:r>
          </w:p>
          <w:p w14:paraId="62F5A676" w14:textId="77777777" w:rsidR="00105076" w:rsidRPr="00590ABF" w:rsidRDefault="00105076" w:rsidP="00105076">
            <w:pPr>
              <w:pStyle w:val="a6"/>
              <w:widowControl/>
              <w:numPr>
                <w:ilvl w:val="0"/>
                <w:numId w:val="21"/>
              </w:numPr>
              <w:wordWrap/>
              <w:autoSpaceDE/>
              <w:autoSpaceDN/>
              <w:snapToGrid w:val="0"/>
              <w:spacing w:after="0"/>
              <w:ind w:leftChars="0"/>
              <w:contextualSpacing/>
            </w:pPr>
            <w:r w:rsidRPr="00590ABF">
              <w:t xml:space="preserve">Alt2. </w:t>
            </w:r>
            <w:r w:rsidRPr="00590ABF">
              <w:rPr>
                <w:bCs/>
                <w:lang w:eastAsia="zh-CN"/>
              </w:rPr>
              <w:t>Use the same scheme as that with common TCI state ID update, i.e. a common BAT is determined by the CC(s) with the smallest SCS in a band</w:t>
            </w:r>
          </w:p>
          <w:p w14:paraId="04FFEAB7" w14:textId="77777777" w:rsidR="00105076" w:rsidRPr="00590ABF" w:rsidRDefault="00105076" w:rsidP="00105076">
            <w:pPr>
              <w:pStyle w:val="a6"/>
              <w:widowControl/>
              <w:numPr>
                <w:ilvl w:val="0"/>
                <w:numId w:val="21"/>
              </w:numPr>
              <w:wordWrap/>
              <w:autoSpaceDE/>
              <w:autoSpaceDN/>
              <w:snapToGrid w:val="0"/>
              <w:spacing w:after="0"/>
              <w:ind w:leftChars="0"/>
              <w:contextualSpacing/>
            </w:pPr>
            <w:r w:rsidRPr="00590ABF">
              <w:t xml:space="preserve">Alt3. A BAT list </w:t>
            </w:r>
            <w:r w:rsidRPr="00590ABF">
              <w:rPr>
                <w:rFonts w:hint="eastAsia"/>
              </w:rPr>
              <w:t>is</w:t>
            </w:r>
            <w:r w:rsidRPr="00590ABF">
              <w:t xml:space="preserve"> configured under the cell group config and applied for each CC in the CG. For CCs not configured with a common TCI state ID update, the BAT is determined by the SCS of the active BWP of the CC.</w:t>
            </w:r>
          </w:p>
          <w:p w14:paraId="61B332CB" w14:textId="77777777" w:rsidR="00105076" w:rsidRPr="00105076" w:rsidRDefault="00105076" w:rsidP="00105076">
            <w:pPr>
              <w:snapToGrid w:val="0"/>
              <w:spacing w:after="0"/>
            </w:pPr>
          </w:p>
          <w:p w14:paraId="40A3E412" w14:textId="77777777" w:rsidR="00105076" w:rsidRDefault="00105076" w:rsidP="00105076">
            <w:pPr>
              <w:snapToGrid w:val="0"/>
              <w:spacing w:after="0"/>
            </w:pPr>
            <w:r w:rsidRPr="006D5708">
              <w:rPr>
                <w:b/>
                <w:u w:val="single"/>
              </w:rPr>
              <w:t>Offline proposal 3.3</w:t>
            </w:r>
            <w:r>
              <w:t xml:space="preserve">: </w:t>
            </w:r>
            <w:r w:rsidRPr="00087C9A">
              <w:rPr>
                <w:rFonts w:eastAsia="맑은 고딕"/>
                <w:lang w:val="en-GB" w:eastAsia="zh-CN"/>
              </w:rPr>
              <w:t xml:space="preserve">On Rel-17 DCI-based beam indication, </w:t>
            </w:r>
            <w:r>
              <w:t>r</w:t>
            </w:r>
            <w:r w:rsidRPr="00117295">
              <w:t xml:space="preserve">egarding the CC list for TCI state pool sharing and common TCI state update, </w:t>
            </w:r>
            <w:r>
              <w:rPr>
                <w:rFonts w:eastAsia="맑은 고딕"/>
                <w:lang w:val="en-GB" w:eastAsia="zh-CN"/>
              </w:rPr>
              <w:t xml:space="preserve">in RAN1#108-e, </w:t>
            </w:r>
            <w:r w:rsidRPr="00117295">
              <w:t>down-select one of the following alterna</w:t>
            </w:r>
            <w:r>
              <w:t>tives:</w:t>
            </w:r>
          </w:p>
          <w:p w14:paraId="6A714B05" w14:textId="77777777" w:rsidR="00105076" w:rsidRPr="00105076" w:rsidRDefault="00105076" w:rsidP="00105076">
            <w:pPr>
              <w:pStyle w:val="a6"/>
              <w:widowControl/>
              <w:numPr>
                <w:ilvl w:val="0"/>
                <w:numId w:val="21"/>
              </w:numPr>
              <w:wordWrap/>
              <w:autoSpaceDE/>
              <w:autoSpaceDN/>
              <w:snapToGrid w:val="0"/>
              <w:spacing w:after="0"/>
              <w:ind w:leftChars="0"/>
              <w:contextualSpacing/>
            </w:pPr>
            <w:r w:rsidRPr="00105076">
              <w:t xml:space="preserve">Alt1: Introduce new RRC parameter(s) to configure the CC list </w:t>
            </w:r>
          </w:p>
          <w:p w14:paraId="683517BB" w14:textId="0EF11B9B" w:rsidR="00105076" w:rsidRPr="00105076" w:rsidRDefault="00105076" w:rsidP="00105076">
            <w:pPr>
              <w:pStyle w:val="a6"/>
              <w:widowControl/>
              <w:numPr>
                <w:ilvl w:val="0"/>
                <w:numId w:val="21"/>
              </w:numPr>
              <w:wordWrap/>
              <w:autoSpaceDE/>
              <w:autoSpaceDN/>
              <w:snapToGrid w:val="0"/>
              <w:spacing w:after="0"/>
              <w:ind w:leftChars="0"/>
              <w:contextualSpacing/>
            </w:pPr>
            <w:r w:rsidRPr="00105076">
              <w:t>Alt2: The CCs within a band are assumed to be within a CC list</w:t>
            </w:r>
          </w:p>
        </w:tc>
      </w:tr>
    </w:tbl>
    <w:p w14:paraId="2CA50C1B" w14:textId="77777777" w:rsidR="003A4B70" w:rsidRDefault="003A4B70" w:rsidP="003A4B70">
      <w:pPr>
        <w:pStyle w:val="LGTdoc1"/>
        <w:snapToGrid/>
        <w:spacing w:beforeLines="0" w:before="100" w:beforeAutospacing="1" w:line="360" w:lineRule="auto"/>
        <w:contextualSpacing/>
        <w:rPr>
          <w:b w:val="0"/>
          <w:sz w:val="22"/>
          <w:lang w:val="en-US"/>
        </w:rPr>
      </w:pPr>
      <w:r>
        <w:rPr>
          <w:rFonts w:hint="eastAsia"/>
          <w:b w:val="0"/>
          <w:sz w:val="22"/>
          <w:lang w:val="en-US"/>
        </w:rPr>
        <w:t xml:space="preserve">To this end, </w:t>
      </w:r>
      <w:r>
        <w:rPr>
          <w:b w:val="0"/>
          <w:sz w:val="22"/>
          <w:lang w:val="en-US"/>
        </w:rPr>
        <w:t xml:space="preserve">the configuration the CC list applying a common TCI state ID update in Rel-17 </w:t>
      </w:r>
      <w:r>
        <w:rPr>
          <w:rFonts w:hint="eastAsia"/>
          <w:b w:val="0"/>
          <w:sz w:val="22"/>
          <w:lang w:val="en-US"/>
        </w:rPr>
        <w:t xml:space="preserve">is pre-requisite </w:t>
      </w:r>
      <w:r>
        <w:rPr>
          <w:b w:val="0"/>
          <w:sz w:val="22"/>
          <w:lang w:val="en-US"/>
        </w:rPr>
        <w:t>for considering the BAT for other CC(s) not configured with the update. It is preferred to introduce new RRC parameter(s) to configure the CC list.</w:t>
      </w:r>
    </w:p>
    <w:p w14:paraId="52CE2FBD" w14:textId="77777777" w:rsidR="003A4B70" w:rsidRDefault="003A4B70" w:rsidP="003A4B70">
      <w:pPr>
        <w:pStyle w:val="LGTdoc1"/>
        <w:snapToGrid/>
        <w:spacing w:beforeLines="0" w:before="100" w:beforeAutospacing="1" w:line="360" w:lineRule="auto"/>
        <w:contextualSpacing/>
        <w:rPr>
          <w:b w:val="0"/>
          <w:sz w:val="22"/>
          <w:lang w:val="en-US"/>
        </w:rPr>
      </w:pPr>
    </w:p>
    <w:p w14:paraId="4B0A4DE3" w14:textId="678CB569" w:rsidR="003A4B70" w:rsidRPr="00D94F2B" w:rsidRDefault="003A4B70" w:rsidP="003A4B70">
      <w:pPr>
        <w:pStyle w:val="LGTdoc1"/>
        <w:snapToGrid/>
        <w:spacing w:beforeLines="0" w:before="100" w:beforeAutospacing="1" w:line="360" w:lineRule="auto"/>
        <w:contextualSpacing/>
        <w:rPr>
          <w:sz w:val="22"/>
          <w:lang w:val="en-US"/>
        </w:rPr>
      </w:pPr>
      <w:r>
        <w:rPr>
          <w:rFonts w:hint="eastAsia"/>
          <w:sz w:val="22"/>
          <w:lang w:val="en-US"/>
        </w:rPr>
        <w:t>Proposal #</w:t>
      </w:r>
      <w:r>
        <w:rPr>
          <w:sz w:val="22"/>
          <w:lang w:val="en-US"/>
        </w:rPr>
        <w:t>7</w:t>
      </w:r>
      <w:r>
        <w:rPr>
          <w:rFonts w:hint="eastAsia"/>
          <w:sz w:val="22"/>
          <w:lang w:val="en-US"/>
        </w:rPr>
        <w:t>: Support to introduce new RRC parameter(s) to configure the CC list for common TCI state ID update</w:t>
      </w:r>
    </w:p>
    <w:p w14:paraId="655ACA57" w14:textId="77777777" w:rsidR="003A4B70" w:rsidRDefault="003A4B70" w:rsidP="003A4B70">
      <w:pPr>
        <w:pStyle w:val="LGTdoc1"/>
        <w:snapToGrid/>
        <w:spacing w:beforeLines="0" w:before="100" w:beforeAutospacing="1" w:line="360" w:lineRule="auto"/>
        <w:contextualSpacing/>
        <w:rPr>
          <w:b w:val="0"/>
          <w:sz w:val="22"/>
          <w:lang w:val="en-US"/>
        </w:rPr>
      </w:pPr>
    </w:p>
    <w:p w14:paraId="67115361" w14:textId="594B838C" w:rsidR="003A4B70" w:rsidRDefault="003A4B70" w:rsidP="00361691">
      <w:pPr>
        <w:pStyle w:val="LGTdoc1"/>
        <w:snapToGrid/>
        <w:spacing w:beforeLines="0" w:before="100" w:beforeAutospacing="1" w:line="360" w:lineRule="auto"/>
        <w:ind w:firstLineChars="146" w:firstLine="321"/>
        <w:contextualSpacing/>
        <w:rPr>
          <w:b w:val="0"/>
          <w:sz w:val="22"/>
          <w:lang w:val="en-US"/>
        </w:rPr>
      </w:pPr>
      <w:r>
        <w:rPr>
          <w:b w:val="0"/>
          <w:sz w:val="22"/>
          <w:lang w:val="en-US"/>
        </w:rPr>
        <w:t>Regarding alternatives in offline proposal 3.2B</w:t>
      </w:r>
      <w:r>
        <w:rPr>
          <w:rFonts w:hint="eastAsia"/>
          <w:b w:val="0"/>
          <w:sz w:val="22"/>
          <w:lang w:val="en-US"/>
        </w:rPr>
        <w:t xml:space="preserve">, </w:t>
      </w:r>
      <w:r>
        <w:rPr>
          <w:b w:val="0"/>
          <w:sz w:val="22"/>
          <w:lang w:val="en-US"/>
        </w:rPr>
        <w:t xml:space="preserve">it is reasonable that the BAT is configured per-CC when the common TCI state ID update is not configured/supported since the BAT is still needed to be configured for a CC per SCS in this case. Also, it is aligned </w:t>
      </w:r>
      <w:r w:rsidR="00AC7E51">
        <w:rPr>
          <w:b w:val="0"/>
          <w:sz w:val="22"/>
          <w:lang w:val="en-US"/>
        </w:rPr>
        <w:t xml:space="preserve">with </w:t>
      </w:r>
      <w:r>
        <w:rPr>
          <w:b w:val="0"/>
          <w:sz w:val="22"/>
          <w:lang w:val="en-US"/>
        </w:rPr>
        <w:t xml:space="preserve">previous agreement that the per-CC BAT still can be provided for CCs configured with the common TCI state ID update </w:t>
      </w:r>
      <w:r w:rsidR="00AC7E51">
        <w:rPr>
          <w:b w:val="0"/>
          <w:sz w:val="22"/>
          <w:lang w:val="en-US"/>
        </w:rPr>
        <w:t>where in this case</w:t>
      </w:r>
      <w:r>
        <w:rPr>
          <w:b w:val="0"/>
          <w:sz w:val="22"/>
          <w:lang w:val="en-US"/>
        </w:rPr>
        <w:t xml:space="preserve"> UE expects a same BAT value is configured on those CCs.</w:t>
      </w:r>
    </w:p>
    <w:p w14:paraId="1EB8A009" w14:textId="77777777" w:rsidR="003A4B70" w:rsidRDefault="003A4B70" w:rsidP="003A4B70">
      <w:pPr>
        <w:pStyle w:val="LGTdoc1"/>
        <w:snapToGrid/>
        <w:spacing w:beforeLines="0" w:before="100" w:beforeAutospacing="1" w:line="360" w:lineRule="auto"/>
        <w:contextualSpacing/>
        <w:rPr>
          <w:b w:val="0"/>
          <w:sz w:val="22"/>
          <w:lang w:val="en-US"/>
        </w:rPr>
      </w:pPr>
    </w:p>
    <w:p w14:paraId="2328830B" w14:textId="6FE72F86" w:rsidR="000746D0" w:rsidRDefault="003A4B70" w:rsidP="003A4B70">
      <w:pPr>
        <w:pStyle w:val="LGTdoc1"/>
        <w:snapToGrid/>
        <w:spacing w:beforeLines="0" w:before="100" w:beforeAutospacing="1" w:line="360" w:lineRule="auto"/>
        <w:contextualSpacing/>
        <w:rPr>
          <w:sz w:val="22"/>
          <w:lang w:val="en-US"/>
        </w:rPr>
      </w:pPr>
      <w:r w:rsidRPr="008130C6">
        <w:rPr>
          <w:rFonts w:hint="eastAsia"/>
          <w:sz w:val="22"/>
          <w:lang w:val="en-US"/>
        </w:rPr>
        <w:t>Proposal</w:t>
      </w:r>
      <w:r w:rsidRPr="008130C6">
        <w:rPr>
          <w:sz w:val="22"/>
          <w:lang w:val="en-US"/>
        </w:rPr>
        <w:t xml:space="preserve"> </w:t>
      </w:r>
      <w:r w:rsidRPr="008130C6">
        <w:rPr>
          <w:rFonts w:hint="eastAsia"/>
          <w:sz w:val="22"/>
          <w:lang w:val="en-US"/>
        </w:rPr>
        <w:t>#</w:t>
      </w:r>
      <w:r>
        <w:rPr>
          <w:sz w:val="22"/>
          <w:lang w:val="en-US"/>
        </w:rPr>
        <w:t>8</w:t>
      </w:r>
      <w:r w:rsidRPr="008130C6">
        <w:rPr>
          <w:rFonts w:hint="eastAsia"/>
          <w:sz w:val="22"/>
          <w:lang w:val="en-US"/>
        </w:rPr>
        <w:t xml:space="preserve">: </w:t>
      </w:r>
      <w:r w:rsidRPr="008130C6">
        <w:rPr>
          <w:sz w:val="22"/>
          <w:lang w:val="en-US"/>
        </w:rPr>
        <w:t xml:space="preserve">Support </w:t>
      </w:r>
      <w:r>
        <w:rPr>
          <w:sz w:val="22"/>
          <w:lang w:val="en-US"/>
        </w:rPr>
        <w:t>that BAT is configured per-CC.</w:t>
      </w:r>
    </w:p>
    <w:p w14:paraId="4D577585" w14:textId="41026481" w:rsidR="00827808" w:rsidRDefault="00576448" w:rsidP="00A762CD">
      <w:pPr>
        <w:pStyle w:val="1"/>
        <w:numPr>
          <w:ilvl w:val="1"/>
          <w:numId w:val="1"/>
        </w:numPr>
        <w:tabs>
          <w:tab w:val="left" w:pos="851"/>
        </w:tabs>
        <w:ind w:left="851" w:hanging="809"/>
      </w:pPr>
      <w:r>
        <w:t xml:space="preserve">[Issue 4] </w:t>
      </w:r>
      <w:r w:rsidR="00827808">
        <w:t>MP-UE</w:t>
      </w:r>
    </w:p>
    <w:p w14:paraId="758BE523" w14:textId="0807B303" w:rsidR="00A762CD" w:rsidRPr="00A762CD" w:rsidRDefault="00A762CD" w:rsidP="00A762CD">
      <w:pPr>
        <w:pStyle w:val="LGTdoc1"/>
        <w:snapToGrid/>
        <w:spacing w:beforeLines="0" w:before="100" w:beforeAutospacing="1" w:line="360" w:lineRule="auto"/>
        <w:ind w:firstLineChars="146" w:firstLine="321"/>
        <w:contextualSpacing/>
        <w:rPr>
          <w:b w:val="0"/>
          <w:sz w:val="22"/>
          <w:lang w:val="en-US"/>
        </w:rPr>
      </w:pPr>
      <w:r w:rsidRPr="00A762CD">
        <w:rPr>
          <w:b w:val="0"/>
          <w:sz w:val="22"/>
          <w:lang w:val="en-US"/>
        </w:rPr>
        <w:t>I</w:t>
      </w:r>
      <w:r w:rsidRPr="00A762CD">
        <w:rPr>
          <w:rFonts w:hint="eastAsia"/>
          <w:b w:val="0"/>
          <w:sz w:val="22"/>
          <w:lang w:val="en-US"/>
        </w:rPr>
        <w:t xml:space="preserve">n </w:t>
      </w:r>
      <w:r w:rsidRPr="00A762CD">
        <w:rPr>
          <w:b w:val="0"/>
          <w:sz w:val="22"/>
          <w:lang w:val="en-US"/>
        </w:rPr>
        <w:t>RAN1#10</w:t>
      </w:r>
      <w:r>
        <w:rPr>
          <w:b w:val="0"/>
          <w:sz w:val="22"/>
          <w:lang w:val="en-US"/>
        </w:rPr>
        <w:t>7</w:t>
      </w:r>
      <w:r w:rsidRPr="00A762CD">
        <w:rPr>
          <w:b w:val="0"/>
          <w:sz w:val="22"/>
          <w:lang w:val="en-US"/>
        </w:rPr>
        <w:t xml:space="preserve">-e meeting, </w:t>
      </w:r>
      <w:r>
        <w:rPr>
          <w:b w:val="0"/>
          <w:sz w:val="22"/>
          <w:lang w:val="en-US"/>
        </w:rPr>
        <w:t xml:space="preserve">an agreement and a working assumption were made for MP-UE (captured below). </w:t>
      </w:r>
    </w:p>
    <w:tbl>
      <w:tblPr>
        <w:tblStyle w:val="a7"/>
        <w:tblW w:w="0" w:type="auto"/>
        <w:tblLook w:val="04A0" w:firstRow="1" w:lastRow="0" w:firstColumn="1" w:lastColumn="0" w:noHBand="0" w:noVBand="1"/>
      </w:tblPr>
      <w:tblGrid>
        <w:gridCol w:w="9016"/>
      </w:tblGrid>
      <w:tr w:rsidR="00827808" w14:paraId="3C05F46C" w14:textId="77777777" w:rsidTr="00E87BD1">
        <w:tc>
          <w:tcPr>
            <w:tcW w:w="9016" w:type="dxa"/>
          </w:tcPr>
          <w:p w14:paraId="1E5225D5" w14:textId="77777777" w:rsidR="00A762CD" w:rsidRPr="00854417" w:rsidRDefault="00A762CD" w:rsidP="00A762CD">
            <w:pPr>
              <w:pStyle w:val="xmsonormal"/>
              <w:snapToGrid w:val="0"/>
              <w:jc w:val="both"/>
              <w:rPr>
                <w:rFonts w:ascii="Times" w:eastAsia="SimSun" w:hAnsi="Times" w:cs="Times"/>
                <w:sz w:val="20"/>
                <w:highlight w:val="darkYellow"/>
                <w:lang w:eastAsia="ko-KR"/>
              </w:rPr>
            </w:pPr>
            <w:r w:rsidRPr="00854417">
              <w:rPr>
                <w:rStyle w:val="af"/>
                <w:rFonts w:ascii="Times" w:hAnsi="Times" w:cs="Times"/>
                <w:sz w:val="20"/>
                <w:highlight w:val="darkYellow"/>
              </w:rPr>
              <w:t>Working Assumption</w:t>
            </w:r>
          </w:p>
          <w:p w14:paraId="508231B9" w14:textId="77777777" w:rsidR="00A762CD" w:rsidRPr="00E328E8" w:rsidRDefault="00A762CD" w:rsidP="003A4B70">
            <w:pPr>
              <w:snapToGrid w:val="0"/>
              <w:spacing w:after="0"/>
              <w:rPr>
                <w:rFonts w:cs="Times"/>
              </w:rPr>
            </w:pPr>
            <w:r w:rsidRPr="00E328E8">
              <w:rPr>
                <w:rFonts w:cs="Times"/>
              </w:rPr>
              <w:t xml:space="preserve">Support the UE reporting a list of UE capability value sets </w:t>
            </w:r>
          </w:p>
          <w:p w14:paraId="2DBA5BC7" w14:textId="77777777" w:rsidR="00A762CD" w:rsidRPr="00E328E8" w:rsidRDefault="00A762CD" w:rsidP="003A4B70">
            <w:pPr>
              <w:widowControl/>
              <w:numPr>
                <w:ilvl w:val="0"/>
                <w:numId w:val="2"/>
              </w:numPr>
              <w:tabs>
                <w:tab w:val="num" w:pos="360"/>
              </w:tabs>
              <w:wordWrap/>
              <w:autoSpaceDE/>
              <w:autoSpaceDN/>
              <w:snapToGrid w:val="0"/>
              <w:spacing w:after="0"/>
              <w:ind w:left="1160"/>
              <w:rPr>
                <w:color w:val="000000"/>
                <w:szCs w:val="28"/>
                <w:lang w:eastAsia="x-none"/>
              </w:rPr>
            </w:pPr>
            <w:r w:rsidRPr="00E328E8">
              <w:rPr>
                <w:color w:val="000000"/>
                <w:szCs w:val="28"/>
                <w:lang w:eastAsia="x-none"/>
              </w:rPr>
              <w:t>Each UE capability value set comprises the max supported number of SRS ports</w:t>
            </w:r>
          </w:p>
          <w:p w14:paraId="615FA567" w14:textId="77777777" w:rsidR="00A762CD" w:rsidRPr="006F5E7A" w:rsidRDefault="00A762CD" w:rsidP="00622D5B">
            <w:pPr>
              <w:widowControl/>
              <w:numPr>
                <w:ilvl w:val="0"/>
                <w:numId w:val="2"/>
              </w:numPr>
              <w:tabs>
                <w:tab w:val="num" w:pos="360"/>
              </w:tabs>
              <w:wordWrap/>
              <w:autoSpaceDE/>
              <w:autoSpaceDN/>
              <w:snapToGrid w:val="0"/>
              <w:spacing w:after="0"/>
              <w:ind w:left="1160"/>
              <w:rPr>
                <w:color w:val="000000"/>
                <w:szCs w:val="28"/>
                <w:lang w:eastAsia="x-none"/>
              </w:rPr>
            </w:pPr>
            <w:r w:rsidRPr="00E328E8">
              <w:rPr>
                <w:color w:val="000000"/>
                <w:szCs w:val="28"/>
                <w:lang w:eastAsia="x-none"/>
              </w:rPr>
              <w:t xml:space="preserve">For any two different value sets, at </w:t>
            </w:r>
            <w:r w:rsidRPr="006F5E7A">
              <w:rPr>
                <w:color w:val="000000"/>
                <w:szCs w:val="28"/>
                <w:lang w:eastAsia="x-none"/>
              </w:rPr>
              <w:t xml:space="preserve">least one capability value needs to be different </w:t>
            </w:r>
          </w:p>
          <w:p w14:paraId="2D593E88" w14:textId="77777777" w:rsidR="00A762CD" w:rsidRPr="006F5E7A" w:rsidRDefault="00A762CD" w:rsidP="00622D5B">
            <w:pPr>
              <w:widowControl/>
              <w:numPr>
                <w:ilvl w:val="1"/>
                <w:numId w:val="2"/>
              </w:numPr>
              <w:wordWrap/>
              <w:autoSpaceDE/>
              <w:autoSpaceDN/>
              <w:snapToGrid w:val="0"/>
              <w:spacing w:after="0"/>
              <w:rPr>
                <w:color w:val="000000"/>
                <w:szCs w:val="28"/>
                <w:lang w:eastAsia="x-none"/>
              </w:rPr>
            </w:pPr>
            <w:r w:rsidRPr="006F5E7A">
              <w:rPr>
                <w:color w:val="000000"/>
                <w:szCs w:val="28"/>
                <w:lang w:eastAsia="x-none"/>
              </w:rPr>
              <w:t>FFS: If in addition also identical value sets are allowed.</w:t>
            </w:r>
          </w:p>
          <w:p w14:paraId="53C0A047" w14:textId="77777777" w:rsidR="00A762CD" w:rsidRPr="006F5E7A" w:rsidRDefault="00A762CD" w:rsidP="00622D5B">
            <w:pPr>
              <w:widowControl/>
              <w:numPr>
                <w:ilvl w:val="0"/>
                <w:numId w:val="2"/>
              </w:numPr>
              <w:tabs>
                <w:tab w:val="num" w:pos="360"/>
              </w:tabs>
              <w:wordWrap/>
              <w:autoSpaceDE/>
              <w:autoSpaceDN/>
              <w:snapToGrid w:val="0"/>
              <w:spacing w:after="0"/>
              <w:ind w:left="1160"/>
              <w:rPr>
                <w:color w:val="000000"/>
                <w:szCs w:val="28"/>
                <w:lang w:eastAsia="x-none"/>
              </w:rPr>
            </w:pPr>
            <w:r w:rsidRPr="006F5E7A">
              <w:rPr>
                <w:color w:val="000000"/>
                <w:szCs w:val="28"/>
                <w:lang w:eastAsia="x-none"/>
              </w:rPr>
              <w:t>Whether the UE capability value set can be common across all BWPs/CCs in same band or BC can be discussed in UE feature session</w:t>
            </w:r>
          </w:p>
          <w:p w14:paraId="1FD19877" w14:textId="77777777" w:rsidR="00A762CD" w:rsidRDefault="00A762CD" w:rsidP="00A762CD">
            <w:pPr>
              <w:rPr>
                <w:rFonts w:cs="Times"/>
                <w:lang w:eastAsia="x-none"/>
              </w:rPr>
            </w:pPr>
          </w:p>
          <w:p w14:paraId="46D2CA72" w14:textId="77777777" w:rsidR="00A762CD" w:rsidRPr="00E328E8" w:rsidRDefault="00A762CD" w:rsidP="00A762CD">
            <w:pPr>
              <w:pStyle w:val="xmsonormal"/>
              <w:rPr>
                <w:rFonts w:ascii="Times" w:eastAsia="맑은 고딕" w:hAnsi="Times" w:cs="Times"/>
                <w:sz w:val="20"/>
                <w:highlight w:val="green"/>
                <w:lang w:eastAsia="ko-KR"/>
              </w:rPr>
            </w:pPr>
            <w:r w:rsidRPr="00E328E8">
              <w:rPr>
                <w:rFonts w:ascii="Times" w:hAnsi="Times" w:cs="Times"/>
                <w:b/>
                <w:bCs/>
                <w:sz w:val="20"/>
                <w:highlight w:val="green"/>
              </w:rPr>
              <w:t>Agreement</w:t>
            </w:r>
          </w:p>
          <w:p w14:paraId="1FAD609E" w14:textId="1853C82E" w:rsidR="00A762CD" w:rsidRPr="006F5E7A" w:rsidRDefault="00A762CD" w:rsidP="00A762CD">
            <w:pPr>
              <w:pStyle w:val="xmsonormal"/>
              <w:rPr>
                <w:rFonts w:ascii="Times" w:hAnsi="Times" w:cs="Times"/>
                <w:sz w:val="20"/>
              </w:rPr>
            </w:pPr>
            <w:r w:rsidRPr="00E328E8">
              <w:rPr>
                <w:rFonts w:ascii="Times" w:hAnsi="Times" w:cs="Times"/>
                <w:sz w:val="20"/>
              </w:rPr>
              <w:t>On Rel.1</w:t>
            </w:r>
            <w:r w:rsidR="00D457DD">
              <w:rPr>
                <w:rFonts w:ascii="Times" w:hAnsi="Times" w:cs="Times"/>
                <w:sz w:val="20"/>
              </w:rPr>
              <w:t>7 enhancements to facilitate UE</w:t>
            </w:r>
            <w:r w:rsidRPr="00E328E8">
              <w:rPr>
                <w:rFonts w:ascii="Times" w:hAnsi="Times" w:cs="Times"/>
                <w:sz w:val="20"/>
              </w:rPr>
              <w:t xml:space="preserve">-initiated panel activation and selection via UE reporting a list of UE capability value sets, </w:t>
            </w:r>
            <w:r w:rsidRPr="006F5E7A">
              <w:rPr>
                <w:rFonts w:ascii="Times" w:hAnsi="Times" w:cs="Times"/>
                <w:sz w:val="20"/>
              </w:rPr>
              <w:t>t</w:t>
            </w:r>
            <w:r w:rsidRPr="006F5E7A">
              <w:rPr>
                <w:rFonts w:ascii="Times" w:hAnsi="Times" w:cs="Times"/>
                <w:sz w:val="20"/>
                <w:lang w:val="en-GB"/>
              </w:rPr>
              <w:t>he correspondence between each reported CSI-RS and/or SSB resource index and one of the UE capability value sets in the reported list is determined by the UE (analogous to Rel-15/16) and is informed to NW in a beam reporting instance. </w:t>
            </w:r>
          </w:p>
          <w:p w14:paraId="596041C6" w14:textId="77777777" w:rsidR="00A762CD" w:rsidRPr="006F5E7A" w:rsidRDefault="00A762CD" w:rsidP="00622D5B">
            <w:pPr>
              <w:widowControl/>
              <w:numPr>
                <w:ilvl w:val="0"/>
                <w:numId w:val="2"/>
              </w:numPr>
              <w:wordWrap/>
              <w:autoSpaceDE/>
              <w:autoSpaceDN/>
              <w:spacing w:after="0"/>
              <w:rPr>
                <w:rFonts w:cs="Times"/>
              </w:rPr>
            </w:pPr>
            <w:r w:rsidRPr="006F5E7A">
              <w:rPr>
                <w:rFonts w:cs="Times"/>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6F5E7A">
              <w:rPr>
                <w:rFonts w:cs="Times"/>
                <w:strike/>
              </w:rPr>
              <w:t xml:space="preserve"> </w:t>
            </w:r>
            <w:r w:rsidRPr="006F5E7A">
              <w:rPr>
                <w:rFonts w:cs="Times"/>
              </w:rPr>
              <w:t>options:</w:t>
            </w:r>
          </w:p>
          <w:p w14:paraId="5CC8217E" w14:textId="77777777" w:rsidR="00A762CD" w:rsidRPr="006F5E7A" w:rsidRDefault="00A762CD" w:rsidP="00622D5B">
            <w:pPr>
              <w:widowControl/>
              <w:numPr>
                <w:ilvl w:val="1"/>
                <w:numId w:val="2"/>
              </w:numPr>
              <w:shd w:val="clear" w:color="auto" w:fill="FFFFFF"/>
              <w:wordWrap/>
              <w:autoSpaceDE/>
              <w:autoSpaceDN/>
              <w:spacing w:after="0"/>
              <w:rPr>
                <w:rFonts w:cs="Times"/>
              </w:rPr>
            </w:pPr>
            <w:r w:rsidRPr="006F5E7A">
              <w:rPr>
                <w:rFonts w:cs="Times"/>
              </w:rPr>
              <w:t>Option 1: UE can report one index for all the reported CRIs/SSBRIs in one beam reporting</w:t>
            </w:r>
          </w:p>
          <w:p w14:paraId="04B9D371" w14:textId="77777777" w:rsidR="00A762CD" w:rsidRPr="006F5E7A" w:rsidRDefault="00A762CD" w:rsidP="00622D5B">
            <w:pPr>
              <w:widowControl/>
              <w:numPr>
                <w:ilvl w:val="1"/>
                <w:numId w:val="2"/>
              </w:numPr>
              <w:shd w:val="clear" w:color="auto" w:fill="FFFFFF"/>
              <w:wordWrap/>
              <w:autoSpaceDE/>
              <w:autoSpaceDN/>
              <w:spacing w:after="0"/>
              <w:rPr>
                <w:rFonts w:cs="Times"/>
              </w:rPr>
            </w:pPr>
            <w:r w:rsidRPr="006F5E7A">
              <w:rPr>
                <w:rFonts w:cs="Times"/>
              </w:rPr>
              <w:t>Option 2: UE can report one index for each reported CRI/SSBRI in one beam reporting.</w:t>
            </w:r>
          </w:p>
          <w:p w14:paraId="67F14268" w14:textId="77777777" w:rsidR="00A762CD" w:rsidRPr="006F5E7A" w:rsidRDefault="00A762CD" w:rsidP="00622D5B">
            <w:pPr>
              <w:widowControl/>
              <w:numPr>
                <w:ilvl w:val="1"/>
                <w:numId w:val="2"/>
              </w:numPr>
              <w:wordWrap/>
              <w:autoSpaceDE/>
              <w:autoSpaceDN/>
              <w:spacing w:after="0"/>
              <w:rPr>
                <w:rFonts w:cs="Times"/>
              </w:rPr>
            </w:pPr>
            <w:r w:rsidRPr="006F5E7A">
              <w:rPr>
                <w:rFonts w:cs="Times"/>
              </w:rPr>
              <w:t>FFS: whether/how to take DL-only panel into account in the report</w:t>
            </w:r>
          </w:p>
          <w:p w14:paraId="2D8D7E01" w14:textId="77777777" w:rsidR="00A762CD" w:rsidRPr="006F5E7A" w:rsidRDefault="00A762CD" w:rsidP="00622D5B">
            <w:pPr>
              <w:widowControl/>
              <w:numPr>
                <w:ilvl w:val="0"/>
                <w:numId w:val="2"/>
              </w:numPr>
              <w:wordWrap/>
              <w:autoSpaceDE/>
              <w:autoSpaceDN/>
              <w:spacing w:after="0"/>
              <w:rPr>
                <w:rFonts w:cs="Times"/>
              </w:rPr>
            </w:pPr>
            <w:r w:rsidRPr="006F5E7A">
              <w:rPr>
                <w:rFonts w:cs="Times"/>
              </w:rPr>
              <w:t xml:space="preserve">FFS: Time-domain behaviour, e.g. the support periodic, semi-persistent, and aperiodic reporting </w:t>
            </w:r>
          </w:p>
          <w:p w14:paraId="2827A742" w14:textId="77777777" w:rsidR="00A762CD" w:rsidRPr="006F5E7A" w:rsidRDefault="00A762CD" w:rsidP="00622D5B">
            <w:pPr>
              <w:widowControl/>
              <w:numPr>
                <w:ilvl w:val="1"/>
                <w:numId w:val="2"/>
              </w:numPr>
              <w:wordWrap/>
              <w:autoSpaceDE/>
              <w:autoSpaceDN/>
              <w:spacing w:after="0"/>
              <w:rPr>
                <w:rFonts w:cs="Times"/>
              </w:rPr>
            </w:pPr>
            <w:r w:rsidRPr="006F5E7A">
              <w:rPr>
                <w:rFonts w:cs="Times"/>
              </w:rPr>
              <w:lastRenderedPageBreak/>
              <w:t>FFS: Semi-persistent and/or aperiodic reporting is triggered only when periodic reporting is configured</w:t>
            </w:r>
          </w:p>
          <w:p w14:paraId="14485FFA" w14:textId="77777777" w:rsidR="00A762CD" w:rsidRPr="006F5E7A" w:rsidRDefault="00A762CD" w:rsidP="00622D5B">
            <w:pPr>
              <w:widowControl/>
              <w:numPr>
                <w:ilvl w:val="0"/>
                <w:numId w:val="2"/>
              </w:numPr>
              <w:wordWrap/>
              <w:autoSpaceDE/>
              <w:autoSpaceDN/>
              <w:spacing w:after="0"/>
              <w:rPr>
                <w:rFonts w:cs="Times"/>
              </w:rPr>
            </w:pPr>
            <w:r w:rsidRPr="00E328E8">
              <w:rPr>
                <w:rFonts w:cs="Times"/>
              </w:rPr>
              <w:t>(</w:t>
            </w:r>
            <w:r w:rsidRPr="00E328E8">
              <w:rPr>
                <w:rFonts w:cs="Times"/>
                <w:b/>
                <w:highlight w:val="darkYellow"/>
              </w:rPr>
              <w:t>Working assumptions</w:t>
            </w:r>
            <w:r w:rsidRPr="00E328E8">
              <w:rPr>
                <w:rFonts w:cs="Times"/>
              </w:rPr>
              <w:t xml:space="preserve">): </w:t>
            </w:r>
            <w:r w:rsidRPr="006F5E7A">
              <w:rPr>
                <w:rFonts w:cs="Times"/>
              </w:rPr>
              <w:t>Support acknowledgement mechanism of the reported correspondence from NW to UE, which doesn't preclude reusing/reinterpreting existing signaling/procedure</w:t>
            </w:r>
          </w:p>
          <w:p w14:paraId="3796BADC" w14:textId="77777777" w:rsidR="00A762CD" w:rsidRPr="006F5E7A" w:rsidRDefault="00A762CD" w:rsidP="00622D5B">
            <w:pPr>
              <w:widowControl/>
              <w:numPr>
                <w:ilvl w:val="1"/>
                <w:numId w:val="2"/>
              </w:numPr>
              <w:wordWrap/>
              <w:autoSpaceDE/>
              <w:autoSpaceDN/>
              <w:spacing w:after="0"/>
              <w:rPr>
                <w:rFonts w:cs="Times"/>
              </w:rPr>
            </w:pPr>
            <w:r w:rsidRPr="006F5E7A">
              <w:rPr>
                <w:rFonts w:cs="Times"/>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2C8B56E0" w14:textId="77777777" w:rsidR="00A762CD" w:rsidRPr="00E328E8" w:rsidRDefault="00A762CD" w:rsidP="00622D5B">
            <w:pPr>
              <w:widowControl/>
              <w:numPr>
                <w:ilvl w:val="1"/>
                <w:numId w:val="2"/>
              </w:numPr>
              <w:wordWrap/>
              <w:autoSpaceDE/>
              <w:autoSpaceDN/>
              <w:spacing w:after="0"/>
              <w:rPr>
                <w:rFonts w:cs="Times"/>
              </w:rPr>
            </w:pPr>
            <w:r w:rsidRPr="00E328E8">
              <w:rPr>
                <w:rFonts w:cs="Times"/>
              </w:rPr>
              <w:t>No new DCI format and no new RNTI are introduced for this function.</w:t>
            </w:r>
          </w:p>
          <w:p w14:paraId="789097C1" w14:textId="77777777" w:rsidR="00A762CD" w:rsidRDefault="00A762CD" w:rsidP="00A762CD">
            <w:pPr>
              <w:rPr>
                <w:rFonts w:cs="Times"/>
                <w:lang w:eastAsia="x-none"/>
              </w:rPr>
            </w:pPr>
          </w:p>
          <w:p w14:paraId="5E1AB2C9" w14:textId="77777777" w:rsidR="00A762CD" w:rsidRPr="00D1377B" w:rsidRDefault="00A762CD" w:rsidP="00E608A3">
            <w:pPr>
              <w:spacing w:after="0"/>
              <w:rPr>
                <w:lang w:val="sv-SE"/>
              </w:rPr>
            </w:pPr>
            <w:r w:rsidRPr="00D1377B">
              <w:rPr>
                <w:rStyle w:val="af"/>
                <w:rFonts w:hint="eastAsia"/>
              </w:rPr>
              <w:t>Conclusion</w:t>
            </w:r>
          </w:p>
          <w:p w14:paraId="681D02EC" w14:textId="348CC7D4" w:rsidR="00A762CD" w:rsidRPr="00A762CD" w:rsidRDefault="00A762CD" w:rsidP="00E608A3">
            <w:pPr>
              <w:spacing w:after="0"/>
              <w:rPr>
                <w:rFonts w:ascii="Times" w:eastAsia="맑은 고딕" w:hAnsi="Times" w:cs="Times"/>
                <w:lang w:eastAsia="x-none"/>
              </w:rPr>
            </w:pPr>
            <w:r>
              <w:rPr>
                <w:lang w:val="sv-SE"/>
              </w:rPr>
              <w:t>On Rel.1</w:t>
            </w:r>
            <w:r w:rsidR="00E608A3">
              <w:rPr>
                <w:lang w:val="sv-SE"/>
              </w:rPr>
              <w:t>7 enhancements to facilitate UE</w:t>
            </w:r>
            <w:r>
              <w:rPr>
                <w:lang w:val="sv-SE"/>
              </w:rPr>
              <w:t>-initiated panel activation and selection via UE reporting a list of UE capability value sets, other than the max supported number of SRS ports (note: currently pending endorsement in proposal 4.A), there is no consensus on supporting another UE capability type</w:t>
            </w:r>
          </w:p>
        </w:tc>
      </w:tr>
    </w:tbl>
    <w:p w14:paraId="3C6923B3" w14:textId="77777777" w:rsidR="00A762CD" w:rsidRDefault="00A762CD" w:rsidP="00A762CD">
      <w:pPr>
        <w:pStyle w:val="LGTdoc1"/>
        <w:snapToGrid/>
        <w:spacing w:beforeLines="0" w:before="100" w:beforeAutospacing="1" w:line="360" w:lineRule="auto"/>
        <w:ind w:firstLineChars="146" w:firstLine="321"/>
        <w:contextualSpacing/>
        <w:rPr>
          <w:b w:val="0"/>
          <w:sz w:val="22"/>
          <w:lang w:val="en-US"/>
        </w:rPr>
      </w:pPr>
      <w:r>
        <w:rPr>
          <w:b w:val="0"/>
          <w:sz w:val="22"/>
          <w:lang w:val="en-US"/>
        </w:rPr>
        <w:lastRenderedPageBreak/>
        <w:t>Basically, the agreed mechanism consists of two parts:</w:t>
      </w:r>
    </w:p>
    <w:p w14:paraId="288B637E" w14:textId="5D5361F2" w:rsidR="00A762CD" w:rsidRDefault="00A762CD" w:rsidP="00622D5B">
      <w:pPr>
        <w:pStyle w:val="LGTdoc1"/>
        <w:numPr>
          <w:ilvl w:val="0"/>
          <w:numId w:val="6"/>
        </w:numPr>
        <w:snapToGrid/>
        <w:spacing w:beforeLines="0" w:before="100" w:beforeAutospacing="1" w:line="360" w:lineRule="auto"/>
        <w:contextualSpacing/>
        <w:rPr>
          <w:b w:val="0"/>
          <w:sz w:val="22"/>
          <w:lang w:val="en-US"/>
        </w:rPr>
      </w:pPr>
      <w:r>
        <w:rPr>
          <w:b w:val="0"/>
          <w:sz w:val="22"/>
          <w:lang w:val="en-US"/>
        </w:rPr>
        <w:t>UE reporting of multi-panel capability (i.e. the max supported number of SRS ports per panel</w:t>
      </w:r>
      <w:r w:rsidR="00745ABF">
        <w:rPr>
          <w:b w:val="0"/>
          <w:sz w:val="22"/>
          <w:lang w:val="en-US"/>
        </w:rPr>
        <w:t xml:space="preserve"> or per panel type</w:t>
      </w:r>
      <w:r>
        <w:rPr>
          <w:b w:val="0"/>
          <w:sz w:val="22"/>
          <w:lang w:val="en-US"/>
        </w:rPr>
        <w:t>)</w:t>
      </w:r>
    </w:p>
    <w:p w14:paraId="207B7CA2" w14:textId="4A9D9C9F" w:rsidR="00A762CD" w:rsidRDefault="00A762CD" w:rsidP="00622D5B">
      <w:pPr>
        <w:pStyle w:val="LGTdoc1"/>
        <w:numPr>
          <w:ilvl w:val="0"/>
          <w:numId w:val="6"/>
        </w:numPr>
        <w:snapToGrid/>
        <w:spacing w:beforeLines="0" w:before="100" w:beforeAutospacing="1" w:line="360" w:lineRule="auto"/>
        <w:contextualSpacing/>
        <w:rPr>
          <w:b w:val="0"/>
          <w:sz w:val="22"/>
          <w:lang w:val="en-US"/>
        </w:rPr>
      </w:pPr>
      <w:r>
        <w:rPr>
          <w:b w:val="0"/>
          <w:sz w:val="22"/>
          <w:lang w:val="en-US"/>
        </w:rPr>
        <w:t>UE reporting of</w:t>
      </w:r>
      <w:r w:rsidR="00BB715A">
        <w:rPr>
          <w:b w:val="0"/>
          <w:sz w:val="22"/>
          <w:lang w:val="en-US"/>
        </w:rPr>
        <w:t xml:space="preserve"> </w:t>
      </w:r>
      <w:r w:rsidR="00BB715A" w:rsidRPr="00BB715A">
        <w:rPr>
          <w:b w:val="0"/>
          <w:sz w:val="22"/>
          <w:lang w:val="en-US"/>
        </w:rPr>
        <w:t>the correspondence between each reported</w:t>
      </w:r>
      <w:r w:rsidR="00BB715A">
        <w:rPr>
          <w:b w:val="0"/>
          <w:sz w:val="22"/>
          <w:lang w:val="en-US"/>
        </w:rPr>
        <w:t xml:space="preserve"> CRI/SSBRI and one of the UE capability value sets</w:t>
      </w:r>
    </w:p>
    <w:p w14:paraId="74DEC013" w14:textId="2AE20CCF" w:rsidR="00A762CD" w:rsidRDefault="00BB715A" w:rsidP="00BE5418">
      <w:pPr>
        <w:pStyle w:val="LGTdoc1"/>
        <w:snapToGrid/>
        <w:spacing w:beforeLines="0" w:before="100" w:beforeAutospacing="1" w:line="360" w:lineRule="auto"/>
        <w:contextualSpacing/>
        <w:rPr>
          <w:b w:val="0"/>
          <w:sz w:val="22"/>
          <w:lang w:val="en-US"/>
        </w:rPr>
      </w:pPr>
      <w:r>
        <w:rPr>
          <w:rFonts w:hint="eastAsia"/>
          <w:b w:val="0"/>
          <w:sz w:val="22"/>
          <w:lang w:val="en-US"/>
        </w:rPr>
        <w:t xml:space="preserve">Based on the first information, </w:t>
      </w:r>
      <w:r>
        <w:rPr>
          <w:b w:val="0"/>
          <w:sz w:val="22"/>
          <w:lang w:val="en-US"/>
        </w:rPr>
        <w:t xml:space="preserve">NW </w:t>
      </w:r>
      <w:r w:rsidR="00431422">
        <w:rPr>
          <w:b w:val="0"/>
          <w:sz w:val="22"/>
          <w:lang w:val="en-US"/>
        </w:rPr>
        <w:t>knows how many</w:t>
      </w:r>
      <w:r>
        <w:rPr>
          <w:b w:val="0"/>
          <w:sz w:val="22"/>
          <w:lang w:val="en-US"/>
        </w:rPr>
        <w:t xml:space="preserve"> SRS </w:t>
      </w:r>
      <w:r w:rsidR="00431422">
        <w:rPr>
          <w:b w:val="0"/>
          <w:sz w:val="22"/>
          <w:lang w:val="en-US"/>
        </w:rPr>
        <w:t xml:space="preserve">ports are needed </w:t>
      </w:r>
      <w:r w:rsidR="00745ABF">
        <w:rPr>
          <w:b w:val="0"/>
          <w:sz w:val="22"/>
          <w:lang w:val="en-US"/>
        </w:rPr>
        <w:t xml:space="preserve">for the UE </w:t>
      </w:r>
      <w:r w:rsidR="00431422">
        <w:rPr>
          <w:b w:val="0"/>
          <w:sz w:val="22"/>
          <w:lang w:val="en-US"/>
        </w:rPr>
        <w:t xml:space="preserve">when UE panel or panel type is switched. Based on the second information, NW knows the required number of SRS ports when </w:t>
      </w:r>
      <w:r w:rsidR="00745ABF">
        <w:rPr>
          <w:b w:val="0"/>
          <w:sz w:val="22"/>
          <w:lang w:val="en-US"/>
        </w:rPr>
        <w:t>UL TCI</w:t>
      </w:r>
      <w:r w:rsidR="00431422">
        <w:rPr>
          <w:b w:val="0"/>
          <w:sz w:val="22"/>
          <w:lang w:val="en-US"/>
        </w:rPr>
        <w:t xml:space="preserve"> </w:t>
      </w:r>
      <w:r w:rsidR="00AC7E51">
        <w:rPr>
          <w:b w:val="0"/>
          <w:sz w:val="22"/>
          <w:lang w:val="en-US"/>
        </w:rPr>
        <w:t xml:space="preserve">state </w:t>
      </w:r>
      <w:r w:rsidR="00431422">
        <w:rPr>
          <w:b w:val="0"/>
          <w:sz w:val="22"/>
          <w:lang w:val="en-US"/>
        </w:rPr>
        <w:t xml:space="preserve">is updated with one of the reported CRI/SSBRI. There are several remaining issues on the above mechanism. </w:t>
      </w:r>
    </w:p>
    <w:p w14:paraId="2DA23814" w14:textId="77777777" w:rsidR="005A7654" w:rsidRDefault="005A7654" w:rsidP="00BE5418">
      <w:pPr>
        <w:pStyle w:val="LGTdoc1"/>
        <w:snapToGrid/>
        <w:spacing w:beforeLines="0" w:before="100" w:beforeAutospacing="1" w:line="360" w:lineRule="auto"/>
        <w:contextualSpacing/>
        <w:rPr>
          <w:b w:val="0"/>
          <w:sz w:val="22"/>
          <w:lang w:val="en-US"/>
        </w:rPr>
      </w:pPr>
    </w:p>
    <w:p w14:paraId="429F517A" w14:textId="13C780BC" w:rsidR="00431422" w:rsidRPr="00431422" w:rsidRDefault="00431422" w:rsidP="00431422">
      <w:pPr>
        <w:pStyle w:val="LGTdoc1"/>
        <w:snapToGrid/>
        <w:spacing w:beforeLines="0" w:before="100" w:beforeAutospacing="1" w:line="360" w:lineRule="auto"/>
        <w:contextualSpacing/>
        <w:rPr>
          <w:sz w:val="22"/>
          <w:lang w:val="en-US"/>
        </w:rPr>
      </w:pPr>
      <w:r w:rsidRPr="00431422">
        <w:rPr>
          <w:sz w:val="22"/>
          <w:lang w:val="en-US"/>
        </w:rPr>
        <w:t>Issue</w:t>
      </w:r>
      <w:r w:rsidR="00576448">
        <w:rPr>
          <w:sz w:val="22"/>
          <w:lang w:val="en-US"/>
        </w:rPr>
        <w:t xml:space="preserve"> 4-</w:t>
      </w:r>
      <w:r w:rsidRPr="00431422">
        <w:rPr>
          <w:sz w:val="22"/>
          <w:lang w:val="en-US"/>
        </w:rPr>
        <w:t xml:space="preserve">1: </w:t>
      </w:r>
      <w:r w:rsidR="00745ABF">
        <w:rPr>
          <w:sz w:val="22"/>
          <w:lang w:val="en-US"/>
        </w:rPr>
        <w:t xml:space="preserve">reporting format (i.e. </w:t>
      </w:r>
      <w:r w:rsidR="00861331">
        <w:rPr>
          <w:sz w:val="22"/>
          <w:lang w:val="en-US"/>
        </w:rPr>
        <w:t>down-selection between Option1 and Option2</w:t>
      </w:r>
      <w:r w:rsidR="00745ABF">
        <w:rPr>
          <w:sz w:val="22"/>
          <w:lang w:val="en-US"/>
        </w:rPr>
        <w:t>)</w:t>
      </w:r>
    </w:p>
    <w:p w14:paraId="3E0A3A92" w14:textId="540206C6" w:rsidR="00431422" w:rsidRDefault="00745ABF" w:rsidP="00361691">
      <w:pPr>
        <w:pStyle w:val="LGTdoc1"/>
        <w:snapToGrid/>
        <w:spacing w:beforeLines="0" w:before="100" w:beforeAutospacing="1" w:line="360" w:lineRule="auto"/>
        <w:ind w:firstLineChars="146" w:firstLine="321"/>
        <w:contextualSpacing/>
        <w:rPr>
          <w:b w:val="0"/>
          <w:sz w:val="22"/>
          <w:lang w:val="en-US"/>
        </w:rPr>
      </w:pPr>
      <w:r>
        <w:rPr>
          <w:b w:val="0"/>
          <w:sz w:val="22"/>
          <w:lang w:val="en-US"/>
        </w:rPr>
        <w:t>As discussed in previous meeting,</w:t>
      </w:r>
      <w:r w:rsidR="00861331">
        <w:rPr>
          <w:b w:val="0"/>
          <w:sz w:val="22"/>
          <w:lang w:val="en-US"/>
        </w:rPr>
        <w:t xml:space="preserve"> Option2 can support the intended functionality of Option1 via reporting same index for all reported CRIs/SSBRIs. The issue of adopting Option1 is to mandate UE</w:t>
      </w:r>
      <w:r w:rsidR="005A7654">
        <w:rPr>
          <w:b w:val="0"/>
          <w:sz w:val="22"/>
          <w:lang w:val="en-US"/>
        </w:rPr>
        <w:t xml:space="preserve"> </w:t>
      </w:r>
      <w:r w:rsidR="00861331">
        <w:rPr>
          <w:b w:val="0"/>
          <w:sz w:val="22"/>
          <w:lang w:val="en-US"/>
        </w:rPr>
        <w:t xml:space="preserve">to activate only one panel, which would preclude to </w:t>
      </w:r>
      <w:r>
        <w:rPr>
          <w:b w:val="0"/>
          <w:sz w:val="22"/>
          <w:lang w:val="en-US"/>
        </w:rPr>
        <w:t>dynamically select</w:t>
      </w:r>
      <w:r w:rsidR="00861331">
        <w:rPr>
          <w:b w:val="0"/>
          <w:sz w:val="22"/>
          <w:lang w:val="en-US"/>
        </w:rPr>
        <w:t xml:space="preserve"> one UL panel among multiple activated panels. Note that the WID is clearly to support ‘dynamic’ panel switching, and for this ‘dynamic’ panel switching, UE </w:t>
      </w:r>
      <w:r w:rsidR="00AC7E51">
        <w:rPr>
          <w:b w:val="0"/>
          <w:sz w:val="22"/>
          <w:lang w:val="en-US"/>
        </w:rPr>
        <w:t xml:space="preserve">would </w:t>
      </w:r>
      <w:r w:rsidR="00861331">
        <w:rPr>
          <w:b w:val="0"/>
          <w:sz w:val="22"/>
          <w:lang w:val="en-US"/>
        </w:rPr>
        <w:t xml:space="preserve">need to activate multiple </w:t>
      </w:r>
      <w:r w:rsidR="005A7654">
        <w:rPr>
          <w:b w:val="0"/>
          <w:sz w:val="22"/>
          <w:lang w:val="en-US"/>
        </w:rPr>
        <w:t xml:space="preserve">panels, i.e. ready for transmission. Thus, we support Option2. </w:t>
      </w:r>
    </w:p>
    <w:p w14:paraId="37003A16" w14:textId="77777777" w:rsidR="00D12687" w:rsidRDefault="00D12687" w:rsidP="00D12687">
      <w:pPr>
        <w:pStyle w:val="LGTdoc1"/>
        <w:snapToGrid/>
        <w:spacing w:beforeLines="0" w:before="100" w:beforeAutospacing="1" w:line="360" w:lineRule="auto"/>
        <w:contextualSpacing/>
        <w:rPr>
          <w:b w:val="0"/>
          <w:sz w:val="22"/>
          <w:lang w:val="en-US"/>
        </w:rPr>
      </w:pPr>
    </w:p>
    <w:p w14:paraId="1EC13CA1" w14:textId="6CCACDC4" w:rsidR="00D12687" w:rsidRDefault="00D12687" w:rsidP="00D12687">
      <w:pPr>
        <w:pStyle w:val="LGTdoc1"/>
        <w:snapToGrid/>
        <w:spacing w:beforeLines="0" w:before="100" w:beforeAutospacing="1" w:line="360" w:lineRule="auto"/>
        <w:contextualSpacing/>
        <w:rPr>
          <w:sz w:val="22"/>
          <w:lang w:val="en-US"/>
        </w:rPr>
      </w:pPr>
      <w:r w:rsidRPr="007E53EF">
        <w:rPr>
          <w:sz w:val="22"/>
          <w:lang w:val="en-US"/>
        </w:rPr>
        <w:t>Proposal #</w:t>
      </w:r>
      <w:r w:rsidR="003A4B70">
        <w:rPr>
          <w:sz w:val="22"/>
          <w:lang w:val="en-US"/>
        </w:rPr>
        <w:t>9</w:t>
      </w:r>
      <w:r w:rsidRPr="007E53EF">
        <w:rPr>
          <w:sz w:val="22"/>
          <w:lang w:val="en-US"/>
        </w:rPr>
        <w:t>. Support</w:t>
      </w:r>
      <w:r w:rsidRPr="00A574A2">
        <w:rPr>
          <w:sz w:val="22"/>
          <w:lang w:val="en-US"/>
        </w:rPr>
        <w:t xml:space="preserve"> </w:t>
      </w:r>
      <w:r>
        <w:rPr>
          <w:sz w:val="22"/>
          <w:lang w:val="en-US"/>
        </w:rPr>
        <w:t xml:space="preserve">Option2 </w:t>
      </w:r>
      <w:r w:rsidR="00AC7E51">
        <w:rPr>
          <w:sz w:val="22"/>
          <w:lang w:val="en-US"/>
        </w:rPr>
        <w:t>for the enhanced beam reporting format for MP-UE</w:t>
      </w:r>
      <w:r>
        <w:rPr>
          <w:sz w:val="22"/>
          <w:lang w:val="en-US"/>
        </w:rPr>
        <w:t>.</w:t>
      </w:r>
    </w:p>
    <w:p w14:paraId="38D140B0" w14:textId="77777777" w:rsidR="00431422" w:rsidRPr="00AC7E51" w:rsidRDefault="00431422" w:rsidP="00431422">
      <w:pPr>
        <w:pStyle w:val="LGTdoc1"/>
        <w:snapToGrid/>
        <w:spacing w:beforeLines="0" w:before="100" w:beforeAutospacing="1" w:line="360" w:lineRule="auto"/>
        <w:contextualSpacing/>
        <w:rPr>
          <w:b w:val="0"/>
          <w:sz w:val="22"/>
          <w:lang w:val="en-US"/>
        </w:rPr>
      </w:pPr>
    </w:p>
    <w:p w14:paraId="65E0F8FA" w14:textId="4DC82F32" w:rsidR="00792D2F" w:rsidRPr="00431422" w:rsidRDefault="00792D2F" w:rsidP="00792D2F">
      <w:pPr>
        <w:pStyle w:val="LGTdoc1"/>
        <w:snapToGrid/>
        <w:spacing w:beforeLines="0" w:before="100" w:beforeAutospacing="1" w:line="360" w:lineRule="auto"/>
        <w:contextualSpacing/>
        <w:rPr>
          <w:sz w:val="22"/>
          <w:lang w:val="en-US"/>
        </w:rPr>
      </w:pPr>
      <w:r w:rsidRPr="00431422">
        <w:rPr>
          <w:sz w:val="22"/>
          <w:lang w:val="en-US"/>
        </w:rPr>
        <w:t>Issue</w:t>
      </w:r>
      <w:r w:rsidR="00576448">
        <w:rPr>
          <w:sz w:val="22"/>
          <w:lang w:val="en-US"/>
        </w:rPr>
        <w:t xml:space="preserve"> 4-</w:t>
      </w:r>
      <w:r>
        <w:rPr>
          <w:sz w:val="22"/>
          <w:lang w:val="en-US"/>
        </w:rPr>
        <w:t>2</w:t>
      </w:r>
      <w:r w:rsidRPr="00431422">
        <w:rPr>
          <w:sz w:val="22"/>
          <w:lang w:val="en-US"/>
        </w:rPr>
        <w:t xml:space="preserve">: </w:t>
      </w:r>
      <w:r>
        <w:rPr>
          <w:sz w:val="22"/>
          <w:lang w:val="en-US"/>
        </w:rPr>
        <w:t xml:space="preserve">how </w:t>
      </w:r>
      <w:r w:rsidR="00745ABF">
        <w:rPr>
          <w:sz w:val="22"/>
          <w:lang w:val="en-US"/>
        </w:rPr>
        <w:t xml:space="preserve">NW </w:t>
      </w:r>
      <w:r>
        <w:rPr>
          <w:sz w:val="22"/>
          <w:lang w:val="en-US"/>
        </w:rPr>
        <w:t>to</w:t>
      </w:r>
      <w:r w:rsidR="00D12687">
        <w:rPr>
          <w:sz w:val="22"/>
          <w:lang w:val="en-US"/>
        </w:rPr>
        <w:t xml:space="preserve"> update</w:t>
      </w:r>
      <w:r>
        <w:rPr>
          <w:sz w:val="22"/>
          <w:lang w:val="en-US"/>
        </w:rPr>
        <w:t xml:space="preserve"> the number of SRS ports according to the updated correspondence</w:t>
      </w:r>
    </w:p>
    <w:p w14:paraId="19E1D90A" w14:textId="3B3817B9" w:rsidR="0089125E" w:rsidRPr="00792D2F" w:rsidRDefault="00792D2F" w:rsidP="00971C94">
      <w:pPr>
        <w:pStyle w:val="LGTdoc1"/>
        <w:snapToGrid/>
        <w:spacing w:beforeLines="0" w:before="100" w:beforeAutospacing="1" w:line="360" w:lineRule="auto"/>
        <w:ind w:firstLineChars="146" w:firstLine="321"/>
        <w:contextualSpacing/>
        <w:rPr>
          <w:b w:val="0"/>
          <w:sz w:val="22"/>
          <w:lang w:val="en-US"/>
        </w:rPr>
      </w:pPr>
      <w:r>
        <w:rPr>
          <w:b w:val="0"/>
          <w:sz w:val="22"/>
          <w:lang w:val="en-US"/>
        </w:rPr>
        <w:t>For the heterogeneous panels having different number of ports, two alternative approaches have been discussed so far.</w:t>
      </w:r>
    </w:p>
    <w:p w14:paraId="005BA4E7" w14:textId="2DFF3C08" w:rsidR="009E2EF2" w:rsidRPr="00792D2F" w:rsidRDefault="009E2EF2" w:rsidP="00622D5B">
      <w:pPr>
        <w:pStyle w:val="LGTdoc1"/>
        <w:numPr>
          <w:ilvl w:val="0"/>
          <w:numId w:val="2"/>
        </w:numPr>
        <w:snapToGrid/>
        <w:spacing w:beforeLines="0" w:before="100" w:beforeAutospacing="1" w:line="360" w:lineRule="auto"/>
        <w:contextualSpacing/>
        <w:rPr>
          <w:b w:val="0"/>
          <w:sz w:val="22"/>
          <w:u w:val="single"/>
          <w:lang w:val="en-US"/>
        </w:rPr>
      </w:pPr>
      <w:r w:rsidRPr="00792D2F">
        <w:rPr>
          <w:b w:val="0"/>
          <w:sz w:val="22"/>
          <w:u w:val="single"/>
          <w:lang w:val="en-US"/>
        </w:rPr>
        <w:t>Alt</w:t>
      </w:r>
      <w:r w:rsidR="00792D2F" w:rsidRPr="00792D2F">
        <w:rPr>
          <w:b w:val="0"/>
          <w:sz w:val="22"/>
          <w:u w:val="single"/>
          <w:lang w:val="en-US"/>
        </w:rPr>
        <w:t>1</w:t>
      </w:r>
      <w:r w:rsidRPr="00792D2F">
        <w:rPr>
          <w:b w:val="0"/>
          <w:sz w:val="22"/>
          <w:u w:val="single"/>
          <w:lang w:val="en-US"/>
        </w:rPr>
        <w:t xml:space="preserve">: BWP switching </w:t>
      </w:r>
      <w:r w:rsidR="00792D2F" w:rsidRPr="00792D2F">
        <w:rPr>
          <w:b w:val="0"/>
          <w:sz w:val="22"/>
          <w:u w:val="single"/>
          <w:lang w:val="en-US"/>
        </w:rPr>
        <w:t>based panel or panel type switching</w:t>
      </w:r>
    </w:p>
    <w:p w14:paraId="534ADC3E" w14:textId="2903131A" w:rsidR="009E2EF2" w:rsidRDefault="009E2EF2" w:rsidP="00622D5B">
      <w:pPr>
        <w:pStyle w:val="LGTdoc1"/>
        <w:numPr>
          <w:ilvl w:val="1"/>
          <w:numId w:val="2"/>
        </w:numPr>
        <w:snapToGrid/>
        <w:spacing w:beforeLines="0" w:before="100" w:beforeAutospacing="1" w:line="360" w:lineRule="auto"/>
        <w:contextualSpacing/>
        <w:rPr>
          <w:b w:val="0"/>
          <w:sz w:val="22"/>
          <w:lang w:val="en-US"/>
        </w:rPr>
      </w:pPr>
      <w:r>
        <w:rPr>
          <w:b w:val="0"/>
          <w:sz w:val="22"/>
          <w:lang w:val="en-US"/>
        </w:rPr>
        <w:t>NW configures multiple BWPs where each BWP is configured with same number of ports</w:t>
      </w:r>
      <w:r w:rsidR="002E6019">
        <w:rPr>
          <w:b w:val="0"/>
          <w:sz w:val="22"/>
          <w:lang w:val="en-US"/>
        </w:rPr>
        <w:t xml:space="preserve"> but different number of ports across different BWPs</w:t>
      </w:r>
      <w:r>
        <w:rPr>
          <w:b w:val="0"/>
          <w:sz w:val="22"/>
          <w:lang w:val="en-US"/>
        </w:rPr>
        <w:t>, and NW switches BWP according to the reported correspondence.</w:t>
      </w:r>
    </w:p>
    <w:p w14:paraId="6586AFE1" w14:textId="06A06A63" w:rsidR="009E2EF2" w:rsidRPr="00792D2F" w:rsidRDefault="009E2EF2" w:rsidP="00622D5B">
      <w:pPr>
        <w:pStyle w:val="LGTdoc1"/>
        <w:numPr>
          <w:ilvl w:val="0"/>
          <w:numId w:val="2"/>
        </w:numPr>
        <w:snapToGrid/>
        <w:spacing w:beforeLines="0" w:before="100" w:beforeAutospacing="1" w:line="360" w:lineRule="auto"/>
        <w:contextualSpacing/>
        <w:rPr>
          <w:b w:val="0"/>
          <w:sz w:val="22"/>
          <w:u w:val="single"/>
          <w:lang w:val="en-US"/>
        </w:rPr>
      </w:pPr>
      <w:r w:rsidRPr="00792D2F">
        <w:rPr>
          <w:b w:val="0"/>
          <w:sz w:val="22"/>
          <w:u w:val="single"/>
          <w:lang w:val="en-US"/>
        </w:rPr>
        <w:t>Alt</w:t>
      </w:r>
      <w:r w:rsidR="00792D2F">
        <w:rPr>
          <w:b w:val="0"/>
          <w:sz w:val="22"/>
          <w:u w:val="single"/>
          <w:lang w:val="en-US"/>
        </w:rPr>
        <w:t>2</w:t>
      </w:r>
      <w:r w:rsidRPr="00792D2F">
        <w:rPr>
          <w:b w:val="0"/>
          <w:sz w:val="22"/>
          <w:u w:val="single"/>
          <w:lang w:val="en-US"/>
        </w:rPr>
        <w:t xml:space="preserve">: SRS resource set </w:t>
      </w:r>
      <w:r w:rsidR="00792D2F" w:rsidRPr="00792D2F">
        <w:rPr>
          <w:b w:val="0"/>
          <w:sz w:val="22"/>
          <w:u w:val="single"/>
          <w:lang w:val="en-US"/>
        </w:rPr>
        <w:t>s</w:t>
      </w:r>
      <w:r w:rsidR="00792D2F">
        <w:rPr>
          <w:b w:val="0"/>
          <w:sz w:val="22"/>
          <w:u w:val="single"/>
          <w:lang w:val="en-US"/>
        </w:rPr>
        <w:t>election</w:t>
      </w:r>
      <w:r w:rsidR="00792D2F" w:rsidRPr="00792D2F">
        <w:rPr>
          <w:b w:val="0"/>
          <w:sz w:val="22"/>
          <w:u w:val="single"/>
          <w:lang w:val="en-US"/>
        </w:rPr>
        <w:t xml:space="preserve"> based panel or panel type switching</w:t>
      </w:r>
    </w:p>
    <w:p w14:paraId="5714562C" w14:textId="59880E99" w:rsidR="002E6019" w:rsidRDefault="009E2EF2" w:rsidP="00622D5B">
      <w:pPr>
        <w:pStyle w:val="LGTdoc1"/>
        <w:numPr>
          <w:ilvl w:val="1"/>
          <w:numId w:val="2"/>
        </w:numPr>
        <w:snapToGrid/>
        <w:spacing w:beforeLines="0" w:before="100" w:beforeAutospacing="1" w:line="360" w:lineRule="auto"/>
        <w:contextualSpacing/>
        <w:rPr>
          <w:b w:val="0"/>
          <w:sz w:val="22"/>
          <w:lang w:val="en-US"/>
        </w:rPr>
      </w:pPr>
      <w:r w:rsidRPr="002E6019">
        <w:rPr>
          <w:rFonts w:hint="eastAsia"/>
          <w:b w:val="0"/>
          <w:sz w:val="22"/>
          <w:lang w:val="en-US"/>
        </w:rPr>
        <w:t xml:space="preserve">NW configures multiple </w:t>
      </w:r>
      <w:r w:rsidRPr="002E6019">
        <w:rPr>
          <w:b w:val="0"/>
          <w:sz w:val="22"/>
          <w:lang w:val="en-US"/>
        </w:rPr>
        <w:t>SRS resource</w:t>
      </w:r>
      <w:r w:rsidR="00745ABF">
        <w:rPr>
          <w:b w:val="0"/>
          <w:sz w:val="22"/>
          <w:lang w:val="en-US"/>
        </w:rPr>
        <w:t xml:space="preserve"> set</w:t>
      </w:r>
      <w:r w:rsidRPr="002E6019">
        <w:rPr>
          <w:b w:val="0"/>
          <w:sz w:val="22"/>
          <w:lang w:val="en-US"/>
        </w:rPr>
        <w:t>s</w:t>
      </w:r>
      <w:r w:rsidR="002E6019">
        <w:rPr>
          <w:b w:val="0"/>
          <w:sz w:val="22"/>
          <w:lang w:val="en-US"/>
        </w:rPr>
        <w:t xml:space="preserve"> for codebook</w:t>
      </w:r>
      <w:r w:rsidRPr="002E6019">
        <w:rPr>
          <w:b w:val="0"/>
          <w:sz w:val="22"/>
          <w:lang w:val="en-US"/>
        </w:rPr>
        <w:t xml:space="preserve"> where each SRS resource set is </w:t>
      </w:r>
      <w:r w:rsidR="002E6019">
        <w:rPr>
          <w:b w:val="0"/>
          <w:sz w:val="22"/>
          <w:lang w:val="en-US"/>
        </w:rPr>
        <w:t>configured with same number of ports but different number of ports across different sets, and NW s</w:t>
      </w:r>
      <w:r w:rsidR="00745ABF">
        <w:rPr>
          <w:b w:val="0"/>
          <w:sz w:val="22"/>
          <w:lang w:val="en-US"/>
        </w:rPr>
        <w:t>elects one</w:t>
      </w:r>
      <w:r w:rsidR="002E6019">
        <w:rPr>
          <w:b w:val="0"/>
          <w:sz w:val="22"/>
          <w:lang w:val="en-US"/>
        </w:rPr>
        <w:t xml:space="preserve"> set according to the reported correspondence.</w:t>
      </w:r>
    </w:p>
    <w:p w14:paraId="32C468E5" w14:textId="77777777" w:rsidR="006F5E7A" w:rsidRPr="00745ABF" w:rsidRDefault="006F5E7A" w:rsidP="005A7654">
      <w:pPr>
        <w:pStyle w:val="LGTdoc1"/>
        <w:snapToGrid/>
        <w:spacing w:beforeLines="0" w:before="100" w:beforeAutospacing="1" w:line="360" w:lineRule="auto"/>
        <w:contextualSpacing/>
        <w:rPr>
          <w:sz w:val="22"/>
          <w:lang w:val="en-US"/>
        </w:rPr>
      </w:pPr>
    </w:p>
    <w:p w14:paraId="3C3A4684" w14:textId="47173B1F" w:rsidR="00792D2F" w:rsidRDefault="00792D2F" w:rsidP="00745ABF">
      <w:pPr>
        <w:pStyle w:val="LGTdoc1"/>
        <w:snapToGrid/>
        <w:spacing w:beforeLines="0" w:before="100" w:beforeAutospacing="1" w:line="360" w:lineRule="auto"/>
        <w:ind w:firstLineChars="146" w:firstLine="321"/>
        <w:contextualSpacing/>
        <w:rPr>
          <w:b w:val="0"/>
          <w:sz w:val="22"/>
          <w:lang w:val="en-US"/>
        </w:rPr>
      </w:pPr>
      <w:r>
        <w:rPr>
          <w:b w:val="0"/>
          <w:sz w:val="22"/>
          <w:lang w:val="en-US"/>
        </w:rPr>
        <w:lastRenderedPageBreak/>
        <w:t xml:space="preserve">Comparing the listed two alternatives, Alt1 creates a lot of signaling overhead since NW must configure multiple BWPs with mostly duplicated </w:t>
      </w:r>
      <w:r w:rsidR="00745ABF">
        <w:rPr>
          <w:b w:val="0"/>
          <w:sz w:val="22"/>
          <w:lang w:val="en-US"/>
        </w:rPr>
        <w:t xml:space="preserve">RRC </w:t>
      </w:r>
      <w:r>
        <w:rPr>
          <w:b w:val="0"/>
          <w:sz w:val="22"/>
          <w:lang w:val="en-US"/>
        </w:rPr>
        <w:t xml:space="preserve">parameters. In addition, the existing BWP fallback mechanism will mandate UE to switch to a specific panel when timer expires, e.g. </w:t>
      </w:r>
      <w:r w:rsidR="00745ABF">
        <w:rPr>
          <w:b w:val="0"/>
          <w:sz w:val="22"/>
          <w:lang w:val="en-US"/>
        </w:rPr>
        <w:t>when</w:t>
      </w:r>
      <w:r>
        <w:rPr>
          <w:b w:val="0"/>
          <w:sz w:val="22"/>
          <w:lang w:val="en-US"/>
        </w:rPr>
        <w:t xml:space="preserve"> there is no DL/UL traffic for certain time duration. </w:t>
      </w:r>
      <w:r w:rsidR="00745ABF">
        <w:rPr>
          <w:b w:val="0"/>
          <w:sz w:val="22"/>
          <w:lang w:val="en-US"/>
        </w:rPr>
        <w:t>This would mean that NW controls UE panel.</w:t>
      </w:r>
    </w:p>
    <w:p w14:paraId="01C3C0EA" w14:textId="1082809D" w:rsidR="00792D2F" w:rsidRDefault="00792D2F" w:rsidP="00745ABF">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For Alt2, we should note that </w:t>
      </w:r>
      <w:r w:rsidR="00D12687" w:rsidRPr="00745ABF">
        <w:rPr>
          <w:b w:val="0"/>
          <w:sz w:val="22"/>
          <w:lang w:val="en-US"/>
        </w:rPr>
        <w:t>Rel-17 specification already supports ‘</w:t>
      </w:r>
      <w:r w:rsidRPr="00745ABF">
        <w:rPr>
          <w:b w:val="0"/>
          <w:sz w:val="22"/>
          <w:u w:val="single"/>
          <w:lang w:val="en-US"/>
        </w:rPr>
        <w:t>SRS resource set indicat</w:t>
      </w:r>
      <w:r w:rsidR="00D12687" w:rsidRPr="00745ABF">
        <w:rPr>
          <w:b w:val="0"/>
          <w:sz w:val="22"/>
          <w:u w:val="single"/>
          <w:lang w:val="en-US"/>
        </w:rPr>
        <w:t>or</w:t>
      </w:r>
      <w:r w:rsidRPr="00745ABF">
        <w:rPr>
          <w:b w:val="0"/>
          <w:sz w:val="22"/>
          <w:lang w:val="en-US"/>
        </w:rPr>
        <w:t>’ field in DCI format 0_1 and 0_2 for MTRP o</w:t>
      </w:r>
      <w:r w:rsidR="00D12687" w:rsidRPr="00745ABF">
        <w:rPr>
          <w:b w:val="0"/>
          <w:sz w:val="22"/>
          <w:lang w:val="en-US"/>
        </w:rPr>
        <w:t>peration</w:t>
      </w:r>
      <w:r w:rsidR="00D12687">
        <w:rPr>
          <w:b w:val="0"/>
          <w:sz w:val="22"/>
          <w:lang w:val="en-US"/>
        </w:rPr>
        <w:t>. In the ‘SRS resource set indicator’, index 0 and index 1 select one SRS resource set between the two SRS resource sets for CB or NCB configured by RRC. This can naturally be used for panel selection when PUSCH rep</w:t>
      </w:r>
      <w:r w:rsidR="00745ABF">
        <w:rPr>
          <w:b w:val="0"/>
          <w:sz w:val="22"/>
          <w:lang w:val="en-US"/>
        </w:rPr>
        <w:t>etition number=1 with a little update, i.e. supporting different number of ports across different set.</w:t>
      </w:r>
    </w:p>
    <w:p w14:paraId="531DFA0E" w14:textId="77777777" w:rsidR="00792D2F" w:rsidRDefault="00792D2F" w:rsidP="005A7654">
      <w:pPr>
        <w:pStyle w:val="LGTdoc1"/>
        <w:snapToGrid/>
        <w:spacing w:beforeLines="0" w:before="100" w:beforeAutospacing="1" w:line="360" w:lineRule="auto"/>
        <w:contextualSpacing/>
        <w:rPr>
          <w:sz w:val="22"/>
          <w:lang w:val="en-US"/>
        </w:rPr>
      </w:pPr>
    </w:p>
    <w:p w14:paraId="14D0B1EB" w14:textId="3837381B" w:rsidR="00792D2F" w:rsidRPr="00ED4AF8" w:rsidRDefault="00792D2F" w:rsidP="00792D2F">
      <w:pPr>
        <w:pStyle w:val="TH"/>
        <w:overflowPunct w:val="0"/>
        <w:autoSpaceDE w:val="0"/>
        <w:autoSpaceDN w:val="0"/>
        <w:adjustRightInd w:val="0"/>
        <w:textAlignment w:val="baseline"/>
        <w:rPr>
          <w:b w:val="0"/>
          <w:lang w:eastAsia="zh-CN"/>
        </w:rPr>
      </w:pPr>
      <w:bookmarkStart w:id="12" w:name="OLE_LINK31"/>
      <w:r w:rsidRPr="00ED4AF8">
        <w:t xml:space="preserve">Table </w:t>
      </w:r>
      <w:r w:rsidRPr="00ED4AF8">
        <w:rPr>
          <w:rFonts w:hint="eastAsia"/>
          <w:lang w:eastAsia="zh-CN"/>
        </w:rPr>
        <w:t>7.3.1.1.2</w:t>
      </w:r>
      <w:r w:rsidRPr="00ED4AF8">
        <w:t>-</w:t>
      </w:r>
      <w:r w:rsidRPr="00ED4AF8">
        <w:rPr>
          <w:rFonts w:hint="eastAsia"/>
          <w:lang w:eastAsia="zh-CN"/>
        </w:rPr>
        <w:t>3</w:t>
      </w:r>
      <w:r w:rsidRPr="00ED4AF8">
        <w:rPr>
          <w:lang w:eastAsia="zh-CN"/>
        </w:rPr>
        <w:t>6</w:t>
      </w:r>
      <w:bookmarkEnd w:id="12"/>
      <w:r w:rsidRPr="00ED4AF8">
        <w:rPr>
          <w:rFonts w:hint="eastAsia"/>
          <w:lang w:eastAsia="zh-CN"/>
        </w:rPr>
        <w:t>:</w:t>
      </w:r>
      <w:r w:rsidRPr="00ED4AF8">
        <w:rPr>
          <w:lang w:eastAsia="zh-CN"/>
        </w:rPr>
        <w:t xml:space="preserve"> SRS resource set indication</w:t>
      </w:r>
      <w:r>
        <w:rPr>
          <w:lang w:eastAsia="zh-CN"/>
        </w:rPr>
        <w:t xml:space="preserve"> (captured from TS38.312)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792D2F" w:rsidRPr="00ED4AF8" w14:paraId="66E54C20" w14:textId="77777777" w:rsidTr="00784A49">
        <w:trPr>
          <w:trHeight w:val="424"/>
          <w:jc w:val="center"/>
        </w:trPr>
        <w:tc>
          <w:tcPr>
            <w:tcW w:w="1980" w:type="dxa"/>
            <w:shd w:val="clear" w:color="auto" w:fill="D9D9D9"/>
            <w:vAlign w:val="center"/>
          </w:tcPr>
          <w:p w14:paraId="25463740" w14:textId="77777777" w:rsidR="00792D2F" w:rsidRPr="00ED4AF8" w:rsidRDefault="00792D2F" w:rsidP="00784A49">
            <w:pPr>
              <w:pStyle w:val="TAC"/>
              <w:rPr>
                <w:lang w:eastAsia="zh-CN"/>
              </w:rPr>
            </w:pPr>
            <w:r w:rsidRPr="00ED4AF8">
              <w:rPr>
                <w:lang w:eastAsia="zh-CN"/>
              </w:rPr>
              <w:t>Bit field mapped to index</w:t>
            </w:r>
          </w:p>
        </w:tc>
        <w:tc>
          <w:tcPr>
            <w:tcW w:w="6662" w:type="dxa"/>
            <w:shd w:val="clear" w:color="auto" w:fill="D9D9D9"/>
            <w:vAlign w:val="center"/>
          </w:tcPr>
          <w:p w14:paraId="11C2528B" w14:textId="77777777" w:rsidR="00792D2F" w:rsidRPr="00ED4AF8" w:rsidRDefault="00792D2F" w:rsidP="00784A49">
            <w:pPr>
              <w:pStyle w:val="TAC"/>
              <w:rPr>
                <w:lang w:eastAsia="zh-CN"/>
              </w:rPr>
            </w:pPr>
            <w:r w:rsidRPr="00ED4AF8">
              <w:rPr>
                <w:lang w:eastAsia="zh-CN"/>
              </w:rPr>
              <w:t>SRS resource set indication</w:t>
            </w:r>
          </w:p>
        </w:tc>
      </w:tr>
      <w:tr w:rsidR="00792D2F" w:rsidRPr="00ED4AF8" w14:paraId="7425CB33" w14:textId="77777777" w:rsidTr="00784A49">
        <w:trPr>
          <w:jc w:val="center"/>
        </w:trPr>
        <w:tc>
          <w:tcPr>
            <w:tcW w:w="1980" w:type="dxa"/>
            <w:shd w:val="clear" w:color="auto" w:fill="D9D9D9"/>
          </w:tcPr>
          <w:p w14:paraId="05A65938" w14:textId="77777777" w:rsidR="00792D2F" w:rsidRPr="00ED4AF8" w:rsidRDefault="00792D2F" w:rsidP="00784A49">
            <w:pPr>
              <w:pStyle w:val="TAC"/>
              <w:rPr>
                <w:lang w:eastAsia="zh-CN"/>
              </w:rPr>
            </w:pPr>
            <w:r w:rsidRPr="00ED4AF8">
              <w:t>0</w:t>
            </w:r>
          </w:p>
        </w:tc>
        <w:tc>
          <w:tcPr>
            <w:tcW w:w="6662" w:type="dxa"/>
            <w:shd w:val="clear" w:color="auto" w:fill="auto"/>
          </w:tcPr>
          <w:p w14:paraId="59B97AE8" w14:textId="77777777" w:rsidR="00792D2F" w:rsidRPr="00ED4AF8" w:rsidRDefault="00792D2F" w:rsidP="00784A49">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first SRS resource set;</w:t>
            </w:r>
          </w:p>
          <w:p w14:paraId="3BACEDA6" w14:textId="77777777" w:rsidR="00792D2F" w:rsidRPr="00ED4AF8" w:rsidRDefault="00792D2F" w:rsidP="00784A49">
            <w:pPr>
              <w:pStyle w:val="TAC"/>
              <w:jc w:val="left"/>
              <w:rPr>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reserved.</w:t>
            </w:r>
          </w:p>
        </w:tc>
      </w:tr>
      <w:tr w:rsidR="00792D2F" w:rsidRPr="00ED4AF8" w14:paraId="5BB065CA" w14:textId="77777777" w:rsidTr="00784A49">
        <w:trPr>
          <w:jc w:val="center"/>
        </w:trPr>
        <w:tc>
          <w:tcPr>
            <w:tcW w:w="1980" w:type="dxa"/>
            <w:shd w:val="clear" w:color="auto" w:fill="D9D9D9"/>
            <w:vAlign w:val="center"/>
          </w:tcPr>
          <w:p w14:paraId="68F151D2" w14:textId="77777777" w:rsidR="00792D2F" w:rsidRPr="00ED4AF8" w:rsidRDefault="00792D2F" w:rsidP="00784A49">
            <w:pPr>
              <w:pStyle w:val="TAC"/>
              <w:rPr>
                <w:lang w:eastAsia="zh-CN"/>
              </w:rPr>
            </w:pPr>
            <w:r w:rsidRPr="00ED4AF8">
              <w:rPr>
                <w:rFonts w:hint="eastAsia"/>
                <w:lang w:eastAsia="zh-CN"/>
              </w:rPr>
              <w:t>1</w:t>
            </w:r>
          </w:p>
        </w:tc>
        <w:tc>
          <w:tcPr>
            <w:tcW w:w="6662" w:type="dxa"/>
            <w:shd w:val="clear" w:color="auto" w:fill="auto"/>
            <w:vAlign w:val="center"/>
          </w:tcPr>
          <w:p w14:paraId="0CDCCD85" w14:textId="77777777" w:rsidR="00792D2F" w:rsidRPr="00ED4AF8" w:rsidRDefault="00792D2F" w:rsidP="00784A49">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second SRS resource set;</w:t>
            </w:r>
          </w:p>
          <w:p w14:paraId="0DC50DD5" w14:textId="77777777" w:rsidR="00792D2F" w:rsidRPr="00ED4AF8" w:rsidRDefault="00792D2F" w:rsidP="00784A49">
            <w:pPr>
              <w:pStyle w:val="TAC"/>
              <w:jc w:val="left"/>
              <w:rPr>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reserved.</w:t>
            </w:r>
          </w:p>
        </w:tc>
      </w:tr>
      <w:tr w:rsidR="00792D2F" w:rsidRPr="00ED4AF8" w14:paraId="3061A046" w14:textId="77777777" w:rsidTr="00784A49">
        <w:trPr>
          <w:jc w:val="center"/>
        </w:trPr>
        <w:tc>
          <w:tcPr>
            <w:tcW w:w="1980" w:type="dxa"/>
            <w:shd w:val="clear" w:color="auto" w:fill="D9D9D9"/>
            <w:vAlign w:val="center"/>
          </w:tcPr>
          <w:p w14:paraId="193DE62E" w14:textId="77777777" w:rsidR="00792D2F" w:rsidRPr="00ED4AF8" w:rsidRDefault="00792D2F" w:rsidP="00784A49">
            <w:pPr>
              <w:pStyle w:val="TAC"/>
              <w:rPr>
                <w:lang w:eastAsia="zh-CN"/>
              </w:rPr>
            </w:pPr>
            <w:r w:rsidRPr="00ED4AF8">
              <w:rPr>
                <w:rFonts w:hint="eastAsia"/>
                <w:lang w:eastAsia="zh-CN"/>
              </w:rPr>
              <w:t>2</w:t>
            </w:r>
          </w:p>
        </w:tc>
        <w:tc>
          <w:tcPr>
            <w:tcW w:w="6662" w:type="dxa"/>
            <w:shd w:val="clear" w:color="auto" w:fill="auto"/>
            <w:vAlign w:val="center"/>
          </w:tcPr>
          <w:p w14:paraId="76B4267C" w14:textId="77777777" w:rsidR="00792D2F" w:rsidRPr="00ED4AF8" w:rsidRDefault="00792D2F" w:rsidP="00784A49">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first SRS resource set;</w:t>
            </w:r>
          </w:p>
          <w:p w14:paraId="78355097" w14:textId="77777777" w:rsidR="00792D2F" w:rsidRPr="00ED4AF8" w:rsidRDefault="00792D2F" w:rsidP="00784A49">
            <w:pPr>
              <w:pStyle w:val="TAC"/>
              <w:jc w:val="left"/>
              <w:rPr>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associated with the second SRS resource set.</w:t>
            </w:r>
          </w:p>
        </w:tc>
      </w:tr>
      <w:tr w:rsidR="00792D2F" w:rsidRPr="00ED4AF8" w14:paraId="3642C27E" w14:textId="77777777" w:rsidTr="00784A49">
        <w:trPr>
          <w:jc w:val="center"/>
        </w:trPr>
        <w:tc>
          <w:tcPr>
            <w:tcW w:w="1980" w:type="dxa"/>
            <w:shd w:val="clear" w:color="auto" w:fill="D9D9D9"/>
            <w:vAlign w:val="center"/>
          </w:tcPr>
          <w:p w14:paraId="2C4E7B2B" w14:textId="77777777" w:rsidR="00792D2F" w:rsidRPr="00ED4AF8" w:rsidRDefault="00792D2F" w:rsidP="00784A49">
            <w:pPr>
              <w:pStyle w:val="TAC"/>
              <w:rPr>
                <w:lang w:eastAsia="zh-CN"/>
              </w:rPr>
            </w:pPr>
            <w:r w:rsidRPr="00ED4AF8">
              <w:rPr>
                <w:rFonts w:hint="eastAsia"/>
                <w:lang w:eastAsia="zh-CN"/>
              </w:rPr>
              <w:t>3</w:t>
            </w:r>
          </w:p>
        </w:tc>
        <w:tc>
          <w:tcPr>
            <w:tcW w:w="6662" w:type="dxa"/>
            <w:shd w:val="clear" w:color="auto" w:fill="auto"/>
            <w:vAlign w:val="center"/>
          </w:tcPr>
          <w:p w14:paraId="59D7DD03" w14:textId="77777777" w:rsidR="00792D2F" w:rsidRPr="00ED4AF8" w:rsidRDefault="00792D2F" w:rsidP="00784A49">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first SRS resource set;</w:t>
            </w:r>
          </w:p>
          <w:p w14:paraId="4946A55D" w14:textId="77777777" w:rsidR="00792D2F" w:rsidRPr="00ED4AF8" w:rsidRDefault="00792D2F" w:rsidP="00784A49">
            <w:pPr>
              <w:pStyle w:val="TAC"/>
              <w:jc w:val="left"/>
              <w:rPr>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associated with the second SRS resource set.</w:t>
            </w:r>
          </w:p>
        </w:tc>
      </w:tr>
      <w:tr w:rsidR="00792D2F" w:rsidRPr="00ED4AF8" w14:paraId="3374C604" w14:textId="77777777" w:rsidTr="00784A49">
        <w:trPr>
          <w:jc w:val="center"/>
        </w:trPr>
        <w:tc>
          <w:tcPr>
            <w:tcW w:w="8642" w:type="dxa"/>
            <w:gridSpan w:val="2"/>
            <w:shd w:val="clear" w:color="auto" w:fill="D9D9D9"/>
            <w:vAlign w:val="center"/>
          </w:tcPr>
          <w:p w14:paraId="3A2C3038" w14:textId="77777777" w:rsidR="00792D2F" w:rsidRPr="00ED4AF8" w:rsidRDefault="00792D2F" w:rsidP="00784A49">
            <w:pPr>
              <w:pStyle w:val="TAC"/>
              <w:spacing w:beforeLines="50" w:before="120" w:afterLines="50" w:after="120"/>
              <w:jc w:val="left"/>
              <w:rPr>
                <w:color w:val="000000"/>
              </w:rPr>
            </w:pPr>
            <w:r w:rsidRPr="00ED4AF8">
              <w:rPr>
                <w:rFonts w:hint="eastAsia"/>
                <w:lang w:eastAsia="zh-CN"/>
              </w:rPr>
              <w:t>NOTE</w:t>
            </w:r>
            <w:r w:rsidRPr="00ED4AF8">
              <w:rPr>
                <w:lang w:eastAsia="zh-CN"/>
              </w:rPr>
              <w:t xml:space="preserve"> 1</w:t>
            </w:r>
            <w:r w:rsidRPr="00ED4AF8">
              <w:rPr>
                <w:rFonts w:hint="eastAsia"/>
                <w:lang w:eastAsia="zh-CN"/>
              </w:rPr>
              <w:t xml:space="preserve">: </w:t>
            </w:r>
            <w:r w:rsidRPr="00ED4AF8">
              <w:rPr>
                <w:lang w:eastAsia="zh-CN"/>
              </w:rPr>
              <w:t>T</w:t>
            </w:r>
            <w:r w:rsidRPr="00ED4AF8">
              <w:rPr>
                <w:rFonts w:hint="eastAsia"/>
                <w:lang w:eastAsia="zh-CN"/>
              </w:rPr>
              <w:t>he first</w:t>
            </w:r>
            <w:r w:rsidRPr="00ED4AF8">
              <w:rPr>
                <w:lang w:eastAsia="zh-CN"/>
              </w:rPr>
              <w:t xml:space="preserve"> and the second</w:t>
            </w:r>
            <w:r w:rsidRPr="00ED4AF8">
              <w:rPr>
                <w:rFonts w:hint="eastAsia"/>
                <w:lang w:eastAsia="zh-CN"/>
              </w:rPr>
              <w:t xml:space="preserve"> SRS resource set</w:t>
            </w:r>
            <w:r w:rsidRPr="00ED4AF8">
              <w:rPr>
                <w:lang w:eastAsia="zh-CN"/>
              </w:rPr>
              <w:t>s are respectively</w:t>
            </w:r>
            <w:r w:rsidRPr="00ED4AF8">
              <w:rPr>
                <w:rFonts w:hint="eastAsia"/>
                <w:lang w:eastAsia="zh-CN"/>
              </w:rPr>
              <w:t xml:space="preserve"> the one</w:t>
            </w:r>
            <w:r w:rsidRPr="00ED4AF8">
              <w:rPr>
                <w:lang w:eastAsia="zh-CN"/>
              </w:rPr>
              <w:t>s</w:t>
            </w:r>
            <w:r w:rsidRPr="00ED4AF8">
              <w:rPr>
                <w:rFonts w:hint="eastAsia"/>
                <w:lang w:eastAsia="zh-CN"/>
              </w:rPr>
              <w:t xml:space="preserve"> with lower</w:t>
            </w:r>
            <w:r w:rsidRPr="00ED4AF8">
              <w:rPr>
                <w:lang w:eastAsia="zh-CN"/>
              </w:rPr>
              <w:t xml:space="preserve"> and higher </w:t>
            </w:r>
            <w:r w:rsidRPr="00ED4AF8">
              <w:rPr>
                <w:i/>
                <w:lang w:eastAsia="zh-CN"/>
              </w:rPr>
              <w:t>srs-ResourceSetId</w:t>
            </w:r>
            <w:r w:rsidRPr="00ED4AF8">
              <w:rPr>
                <w:lang w:eastAsia="zh-CN"/>
              </w:rPr>
              <w:t xml:space="preserve"> of the two SRS resources sets configured by higher layer parameter </w:t>
            </w:r>
            <w:r w:rsidRPr="00ED4AF8">
              <w:rPr>
                <w:i/>
              </w:rPr>
              <w:t>srs-ResourceSetToAddModList</w:t>
            </w:r>
            <w:r w:rsidRPr="00ED4AF8">
              <w:t xml:space="preserve"> or </w:t>
            </w:r>
            <w:r w:rsidRPr="00ED4AF8">
              <w:rPr>
                <w:i/>
              </w:rPr>
              <w:t>srs-ResourceSetToAddModListDCI-0-2</w:t>
            </w:r>
            <w:r w:rsidRPr="00ED4AF8">
              <w:t xml:space="preserve">,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r w:rsidRPr="00ED4AF8">
              <w:rPr>
                <w:i/>
              </w:rPr>
              <w:t>nonCodeBook</w:t>
            </w:r>
            <w:r w:rsidRPr="00ED4AF8">
              <w:t xml:space="preserve">' if </w:t>
            </w:r>
            <w:r w:rsidRPr="00ED4AF8">
              <w:rPr>
                <w:i/>
              </w:rPr>
              <w:t>txConfig</w:t>
            </w:r>
            <w:r w:rsidRPr="00ED4AF8">
              <w:t>=</w:t>
            </w:r>
            <w:r w:rsidRPr="00ED4AF8">
              <w:rPr>
                <w:i/>
              </w:rPr>
              <w:t>nonCodebook</w:t>
            </w:r>
            <w:r w:rsidRPr="00ED4AF8">
              <w:t xml:space="preserve"> or '</w:t>
            </w:r>
            <w:r w:rsidRPr="00ED4AF8">
              <w:rPr>
                <w:i/>
              </w:rPr>
              <w:t>codeBook</w:t>
            </w:r>
            <w:r w:rsidRPr="00ED4AF8">
              <w:t xml:space="preserve">' if </w:t>
            </w:r>
            <w:r w:rsidRPr="00ED4AF8">
              <w:rPr>
                <w:i/>
              </w:rPr>
              <w:t>txConfig</w:t>
            </w:r>
            <w:r w:rsidRPr="00ED4AF8">
              <w:t>=</w:t>
            </w:r>
            <w:r w:rsidRPr="00ED4AF8">
              <w:rPr>
                <w:i/>
              </w:rPr>
              <w:t>codebook</w:t>
            </w:r>
            <w:r w:rsidRPr="00ED4AF8">
              <w:t xml:space="preserve">. </w:t>
            </w:r>
            <w:bookmarkStart w:id="13" w:name="OLE_LINK47"/>
            <w:bookmarkStart w:id="14" w:name="OLE_LINK32"/>
            <w:r w:rsidRPr="00ED4AF8">
              <w:t xml:space="preserve">When only one SRS resource set is configured by higher layer parameter </w:t>
            </w:r>
            <w:r w:rsidRPr="00ED4AF8">
              <w:rPr>
                <w:i/>
              </w:rPr>
              <w:t xml:space="preserve">srs-ResourceSetToAddModList </w:t>
            </w:r>
            <w:r w:rsidRPr="00ED4AF8">
              <w:t xml:space="preserve">or </w:t>
            </w:r>
            <w:r w:rsidRPr="00ED4AF8">
              <w:rPr>
                <w:i/>
              </w:rPr>
              <w:t>srs-ResourceSetToAddModListDCI-0-2</w:t>
            </w:r>
            <w:r w:rsidRPr="00ED4AF8">
              <w:t>, and associated with the higher layer parameter usage of value '</w:t>
            </w:r>
            <w:r w:rsidRPr="00ED4AF8">
              <w:rPr>
                <w:i/>
              </w:rPr>
              <w:t>codeBook</w:t>
            </w:r>
            <w:r w:rsidRPr="00ED4AF8">
              <w:t>' or '</w:t>
            </w:r>
            <w:r w:rsidRPr="00ED4AF8">
              <w:rPr>
                <w:i/>
              </w:rPr>
              <w:t>nonCodeBook</w:t>
            </w:r>
            <w:r w:rsidRPr="00ED4AF8">
              <w:t xml:space="preserve">' respectively, the first SRS resource set is the SRS resource set. The association of the first and second SRS resource sets to PUSCH repetitions for each bit field index value is as defined in </w:t>
            </w:r>
            <w:r w:rsidRPr="00ED4AF8">
              <w:rPr>
                <w:rFonts w:hint="eastAsia"/>
                <w:lang w:eastAsia="zh-CN"/>
              </w:rPr>
              <w:t>Clause 6.</w:t>
            </w:r>
            <w:r w:rsidRPr="00ED4AF8">
              <w:rPr>
                <w:lang w:eastAsia="zh-CN"/>
              </w:rPr>
              <w:t>1.2.1</w:t>
            </w:r>
            <w:r w:rsidRPr="00ED4AF8">
              <w:rPr>
                <w:rFonts w:hint="eastAsia"/>
                <w:lang w:eastAsia="zh-CN"/>
              </w:rPr>
              <w:t xml:space="preserve"> of [6, TS</w:t>
            </w:r>
            <w:r w:rsidRPr="00ED4AF8">
              <w:rPr>
                <w:lang w:eastAsia="zh-CN"/>
              </w:rPr>
              <w:t xml:space="preserve"> </w:t>
            </w:r>
            <w:r w:rsidRPr="00ED4AF8">
              <w:rPr>
                <w:rFonts w:hint="eastAsia"/>
                <w:lang w:eastAsia="zh-CN"/>
              </w:rPr>
              <w:t>38.214]</w:t>
            </w:r>
            <w:r w:rsidRPr="00ED4AF8">
              <w:rPr>
                <w:lang w:eastAsia="zh-CN"/>
              </w:rPr>
              <w:t>.</w:t>
            </w:r>
            <w:bookmarkEnd w:id="13"/>
          </w:p>
          <w:bookmarkEnd w:id="14"/>
          <w:p w14:paraId="4C42A305" w14:textId="77777777" w:rsidR="00792D2F" w:rsidRPr="00ED4AF8" w:rsidRDefault="00792D2F" w:rsidP="00784A49">
            <w:pPr>
              <w:pStyle w:val="TAC"/>
              <w:spacing w:afterLines="50" w:after="120"/>
              <w:jc w:val="left"/>
              <w:rPr>
                <w:lang w:eastAsia="zh-CN"/>
              </w:rPr>
            </w:pPr>
            <w:r w:rsidRPr="00ED4AF8">
              <w:t xml:space="preserve">NOTE 2: For DCI format 0_2, the first and second SRS resource sets configured by higher layer parameter </w:t>
            </w:r>
            <w:r w:rsidRPr="00ED4AF8">
              <w:rPr>
                <w:i/>
              </w:rPr>
              <w:t xml:space="preserve">srs-ResourceSetToAddModListDCI-0-2 </w:t>
            </w:r>
            <w:r w:rsidRPr="00ED4AF8">
              <w:t xml:space="preserve">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rFonts w:hint="eastAsia"/>
                <w:lang w:eastAsia="zh-CN"/>
              </w:rPr>
              <w:t xml:space="preserve"> SRS resources </w:t>
            </w:r>
            <w:r w:rsidRPr="00ED4AF8">
              <w:rPr>
                <w:iCs/>
              </w:rPr>
              <w:t xml:space="preserve">together with other configurations in the first and second SRS resource sets </w:t>
            </w:r>
            <w:r w:rsidRPr="00ED4AF8">
              <w:t xml:space="preserve">configured by higher layer parameter </w:t>
            </w:r>
            <w:r w:rsidRPr="00ED4AF8">
              <w:rPr>
                <w:i/>
              </w:rPr>
              <w:t>srs-ResourceSetToAddModList</w:t>
            </w:r>
            <w:r w:rsidRPr="00ED4AF8">
              <w:t xml:space="preserve">, if any,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r w:rsidRPr="00ED4AF8">
              <w:rPr>
                <w:i/>
              </w:rPr>
              <w:t>codeBook</w:t>
            </w:r>
            <w:r w:rsidRPr="00ED4AF8">
              <w:t>' or '</w:t>
            </w:r>
            <w:r w:rsidRPr="00ED4AF8">
              <w:rPr>
                <w:i/>
              </w:rPr>
              <w:t>nonCodeBook</w:t>
            </w:r>
            <w:r w:rsidRPr="00ED4AF8">
              <w:t xml:space="preserve">', respectively, </w:t>
            </w:r>
            <w:r w:rsidRPr="00ED4AF8">
              <w:rPr>
                <w:lang w:eastAsia="zh-CN"/>
              </w:rPr>
              <w:t xml:space="preserve">except for the higher layer parameters </w:t>
            </w:r>
            <w:r>
              <w:rPr>
                <w:i/>
                <w:iCs/>
                <w:lang w:eastAsia="zh-CN"/>
              </w:rPr>
              <w:t>'</w:t>
            </w:r>
            <w:r w:rsidRPr="00ED4AF8">
              <w:rPr>
                <w:i/>
                <w:iCs/>
              </w:rPr>
              <w:t>srs-ResourceSetId</w:t>
            </w:r>
            <w:r>
              <w:rPr>
                <w:i/>
                <w:iCs/>
                <w:lang w:eastAsia="zh-CN"/>
              </w:rPr>
              <w:t>'</w:t>
            </w:r>
            <w:r w:rsidRPr="00ED4AF8">
              <w:rPr>
                <w:i/>
                <w:iCs/>
                <w:lang w:eastAsia="zh-CN"/>
              </w:rPr>
              <w:t xml:space="preserve"> and </w:t>
            </w:r>
            <w:r>
              <w:rPr>
                <w:i/>
                <w:iCs/>
                <w:lang w:eastAsia="zh-CN"/>
              </w:rPr>
              <w:t>'</w:t>
            </w:r>
            <w:r w:rsidRPr="00ED4AF8">
              <w:rPr>
                <w:i/>
                <w:iCs/>
              </w:rPr>
              <w:t>srs-ResourceIdList</w:t>
            </w:r>
            <w:r>
              <w:rPr>
                <w:i/>
                <w:iCs/>
              </w:rPr>
              <w:t>'</w:t>
            </w:r>
            <w:r w:rsidRPr="00ED4AF8">
              <w:rPr>
                <w:i/>
                <w:iCs/>
              </w:rPr>
              <w:t>.</w:t>
            </w:r>
          </w:p>
        </w:tc>
      </w:tr>
    </w:tbl>
    <w:p w14:paraId="21DD6112" w14:textId="77777777" w:rsidR="00792D2F" w:rsidRPr="00ED4AF8" w:rsidRDefault="00792D2F" w:rsidP="00792D2F">
      <w:pPr>
        <w:rPr>
          <w:lang w:eastAsia="zh-CN"/>
        </w:rPr>
      </w:pPr>
    </w:p>
    <w:p w14:paraId="735BFCE6" w14:textId="563DC4F9" w:rsidR="00004DAF" w:rsidRDefault="00745ABF" w:rsidP="00971C94">
      <w:pPr>
        <w:pStyle w:val="LGTdoc1"/>
        <w:snapToGrid/>
        <w:spacing w:beforeLines="0" w:before="100" w:beforeAutospacing="1" w:line="360" w:lineRule="auto"/>
        <w:ind w:firstLineChars="146" w:firstLine="321"/>
        <w:contextualSpacing/>
        <w:rPr>
          <w:b w:val="0"/>
          <w:sz w:val="22"/>
          <w:lang w:val="en-US"/>
        </w:rPr>
      </w:pPr>
      <w:r>
        <w:rPr>
          <w:b w:val="0"/>
          <w:sz w:val="22"/>
          <w:lang w:val="en-US"/>
        </w:rPr>
        <w:t>Regarding the</w:t>
      </w:r>
      <w:r w:rsidR="00004DAF">
        <w:rPr>
          <w:b w:val="0"/>
          <w:sz w:val="22"/>
          <w:lang w:val="en-US"/>
        </w:rPr>
        <w:t xml:space="preserve"> different number of ports between different resource sets, this is not a new </w:t>
      </w:r>
      <w:r w:rsidR="00971C94">
        <w:rPr>
          <w:b w:val="0"/>
          <w:sz w:val="22"/>
          <w:lang w:val="en-US"/>
        </w:rPr>
        <w:t>feature</w:t>
      </w:r>
      <w:r w:rsidR="00004DAF">
        <w:rPr>
          <w:b w:val="0"/>
          <w:sz w:val="22"/>
          <w:lang w:val="en-US"/>
        </w:rPr>
        <w:t xml:space="preserve"> </w:t>
      </w:r>
      <w:r w:rsidR="00971C94">
        <w:rPr>
          <w:b w:val="0"/>
          <w:sz w:val="22"/>
          <w:lang w:val="en-US"/>
        </w:rPr>
        <w:t>and</w:t>
      </w:r>
      <w:r w:rsidR="00004DAF">
        <w:rPr>
          <w:b w:val="0"/>
          <w:sz w:val="22"/>
          <w:lang w:val="en-US"/>
        </w:rPr>
        <w:t xml:space="preserve"> spec already support</w:t>
      </w:r>
      <w:r w:rsidR="00971C94">
        <w:rPr>
          <w:b w:val="0"/>
          <w:sz w:val="22"/>
          <w:lang w:val="en-US"/>
        </w:rPr>
        <w:t>s</w:t>
      </w:r>
      <w:r w:rsidR="00004DAF">
        <w:rPr>
          <w:b w:val="0"/>
          <w:sz w:val="22"/>
          <w:lang w:val="en-US"/>
        </w:rPr>
        <w:t xml:space="preserve"> different number of SRS ports for different SRS resource for </w:t>
      </w:r>
      <w:r w:rsidR="00004DAF" w:rsidRPr="00971C94">
        <w:rPr>
          <w:b w:val="0"/>
          <w:i/>
          <w:sz w:val="22"/>
          <w:lang w:val="en-US"/>
        </w:rPr>
        <w:t>fullpowerMode2</w:t>
      </w:r>
      <w:r w:rsidR="00004DAF">
        <w:rPr>
          <w:b w:val="0"/>
          <w:sz w:val="22"/>
          <w:lang w:val="en-US"/>
        </w:rPr>
        <w:t>.</w:t>
      </w:r>
      <w:r w:rsidR="00971C94">
        <w:rPr>
          <w:b w:val="0"/>
          <w:sz w:val="22"/>
          <w:lang w:val="en-US"/>
        </w:rPr>
        <w:t xml:space="preserve"> </w:t>
      </w:r>
      <w:r w:rsidR="00004DAF">
        <w:rPr>
          <w:rFonts w:hint="eastAsia"/>
          <w:b w:val="0"/>
          <w:sz w:val="22"/>
          <w:lang w:val="en-US"/>
        </w:rPr>
        <w:t>For example,</w:t>
      </w:r>
      <w:r w:rsidR="00004DAF">
        <w:rPr>
          <w:b w:val="0"/>
          <w:sz w:val="22"/>
          <w:lang w:val="en-US"/>
        </w:rPr>
        <w:t xml:space="preserve"> it is already well specified how TPMI/TRI needs to be interpreted when SRS resources with different number of ports are configured </w:t>
      </w:r>
      <w:r w:rsidR="00004DAF">
        <w:rPr>
          <w:rFonts w:hint="eastAsia"/>
          <w:b w:val="0"/>
          <w:sz w:val="22"/>
          <w:lang w:val="en-US"/>
        </w:rPr>
        <w:t>in TS38.212</w:t>
      </w:r>
      <w:r w:rsidR="00004DAF">
        <w:rPr>
          <w:b w:val="0"/>
          <w:sz w:val="22"/>
          <w:lang w:val="en-US"/>
        </w:rPr>
        <w:t xml:space="preserve"> as captured below:</w:t>
      </w:r>
    </w:p>
    <w:tbl>
      <w:tblPr>
        <w:tblStyle w:val="a7"/>
        <w:tblW w:w="0" w:type="auto"/>
        <w:tblLook w:val="04A0" w:firstRow="1" w:lastRow="0" w:firstColumn="1" w:lastColumn="0" w:noHBand="0" w:noVBand="1"/>
      </w:tblPr>
      <w:tblGrid>
        <w:gridCol w:w="9016"/>
      </w:tblGrid>
      <w:tr w:rsidR="00004DAF" w14:paraId="335E29E6" w14:textId="77777777" w:rsidTr="00004DAF">
        <w:tc>
          <w:tcPr>
            <w:tcW w:w="9016" w:type="dxa"/>
          </w:tcPr>
          <w:p w14:paraId="045EB6FE" w14:textId="77777777" w:rsidR="00004DAF" w:rsidRPr="00ED4AF8" w:rsidRDefault="00004DAF" w:rsidP="00004DAF">
            <w:pPr>
              <w:pStyle w:val="B1"/>
              <w:rPr>
                <w:lang w:eastAsia="zh-CN"/>
              </w:rPr>
            </w:pPr>
            <w:r w:rsidRPr="00ED4AF8">
              <w:t xml:space="preserve">Precoding information and number of layers – </w:t>
            </w:r>
            <w:r w:rsidRPr="00ED4AF8">
              <w:rPr>
                <w:rFonts w:hint="eastAsia"/>
                <w:lang w:eastAsia="zh-CN"/>
              </w:rPr>
              <w:t>number of bits determined by the following:</w:t>
            </w:r>
          </w:p>
          <w:p w14:paraId="409ED8D5" w14:textId="77777777" w:rsidR="00004DAF" w:rsidRPr="00ED4AF8" w:rsidRDefault="00004DAF" w:rsidP="00004DAF">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r w:rsidRPr="00ED4AF8">
              <w:rPr>
                <w:i/>
              </w:rPr>
              <w:t>txConfig</w:t>
            </w:r>
            <w:r w:rsidRPr="00ED4AF8">
              <w:rPr>
                <w:rFonts w:hint="eastAsia"/>
                <w:i/>
                <w:lang w:eastAsia="zh-CN"/>
              </w:rPr>
              <w:t xml:space="preserve"> = </w:t>
            </w:r>
            <w:r w:rsidRPr="00ED4AF8">
              <w:rPr>
                <w:i/>
                <w:lang w:eastAsia="zh-CN"/>
              </w:rPr>
              <w:t>nonCodeBook</w:t>
            </w:r>
            <w:r w:rsidRPr="00ED4AF8">
              <w:rPr>
                <w:rFonts w:hint="eastAsia"/>
                <w:lang w:eastAsia="zh-CN"/>
              </w:rPr>
              <w:t>;</w:t>
            </w:r>
          </w:p>
          <w:p w14:paraId="28F143D0" w14:textId="77777777" w:rsidR="00004DAF" w:rsidRPr="00ED4AF8" w:rsidRDefault="00004DAF" w:rsidP="00004DAF">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r w:rsidRPr="00ED4AF8">
              <w:rPr>
                <w:i/>
              </w:rPr>
              <w:t>txConfig</w:t>
            </w:r>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14:paraId="4AC353A2" w14:textId="77777777" w:rsidR="00004DAF" w:rsidRPr="00ED4AF8" w:rsidRDefault="00004DAF" w:rsidP="00004DAF">
            <w:pPr>
              <w:pStyle w:val="B2"/>
              <w:rPr>
                <w:iCs/>
                <w:lang w:eastAsia="zh-CN"/>
              </w:rPr>
            </w:pPr>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r w:rsidRPr="00ED4AF8">
              <w:rPr>
                <w:i/>
                <w:iCs/>
              </w:rPr>
              <w:lastRenderedPageBreak/>
              <w:t>fullpower</w:t>
            </w:r>
            <w:r w:rsidRPr="00ED4AF8">
              <w:rPr>
                <w:i/>
                <w:iCs/>
                <w:lang w:eastAsia="zh-CN"/>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iCs/>
                <w:lang w:eastAsia="zh-CN"/>
              </w:rPr>
              <w:t>maxRank</w:t>
            </w:r>
            <w:r w:rsidRPr="00ED4AF8">
              <w:rPr>
                <w:rFonts w:hint="eastAsia"/>
                <w:iCs/>
                <w:lang w:eastAsia="zh-CN"/>
              </w:rPr>
              <w:t xml:space="preserve">, and </w:t>
            </w:r>
            <w:r w:rsidRPr="00ED4AF8">
              <w:rPr>
                <w:rFonts w:hint="eastAsia"/>
                <w:i/>
                <w:iCs/>
                <w:lang w:eastAsia="zh-CN"/>
              </w:rPr>
              <w:t>codebookSubset</w:t>
            </w:r>
            <w:r w:rsidRPr="00ED4AF8">
              <w:rPr>
                <w:rFonts w:hint="eastAsia"/>
                <w:iCs/>
                <w:lang w:eastAsia="zh-CN"/>
              </w:rPr>
              <w:t>;</w:t>
            </w:r>
            <w:r w:rsidRPr="00ED4AF8">
              <w:rPr>
                <w:iCs/>
                <w:lang w:eastAsia="zh-CN"/>
              </w:rPr>
              <w:t xml:space="preserve"> </w:t>
            </w:r>
          </w:p>
          <w:p w14:paraId="426C5C39" w14:textId="77777777" w:rsidR="00004DAF" w:rsidRPr="00ED4AF8" w:rsidRDefault="00004DAF" w:rsidP="00004DAF">
            <w:pPr>
              <w:pStyle w:val="B2"/>
              <w:rPr>
                <w:iCs/>
                <w:lang w:eastAsia="zh-CN"/>
              </w:rPr>
            </w:pPr>
            <w:r w:rsidRPr="00ED4AF8">
              <w:rPr>
                <w:lang w:eastAsia="zh-CN"/>
              </w:rPr>
              <w:t>-</w:t>
            </w:r>
            <w:r w:rsidRPr="00ED4AF8">
              <w:rPr>
                <w:lang w:eastAsia="zh-CN"/>
              </w:rPr>
              <w:tab/>
            </w:r>
            <w:r w:rsidRPr="00ED4AF8">
              <w:rPr>
                <w:rFonts w:hint="eastAsia"/>
                <w:lang w:eastAsia="zh-CN"/>
              </w:rPr>
              <w:t>4</w:t>
            </w:r>
            <w:r w:rsidRPr="00ED4AF8">
              <w:rPr>
                <w:lang w:eastAsia="zh-CN"/>
              </w:rPr>
              <w:t xml:space="preserve"> </w:t>
            </w:r>
            <w:r w:rsidRPr="00ED4AF8">
              <w:rPr>
                <w:rFonts w:hint="eastAsia"/>
                <w:lang w:eastAsia="zh-CN"/>
              </w:rPr>
              <w:t xml:space="preserve">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
                <w:iCs/>
                <w:lang w:eastAsia="zh-CN"/>
              </w:rPr>
              <w:t xml:space="preserve">, maxRank=2, </w:t>
            </w:r>
            <w:r w:rsidRPr="00ED4AF8">
              <w:rPr>
                <w:rFonts w:hint="eastAsia"/>
                <w:lang w:eastAsia="zh-CN"/>
              </w:rPr>
              <w:t>transform precoder is disabled</w:t>
            </w:r>
            <w:r w:rsidRPr="00ED4AF8">
              <w:rPr>
                <w:iCs/>
                <w:lang w:eastAsia="zh-CN"/>
              </w:rPr>
              <w:t xml:space="preserve">, </w:t>
            </w:r>
            <w:r w:rsidRPr="00ED4AF8">
              <w:rPr>
                <w:rFonts w:hint="eastAsia"/>
                <w:lang w:eastAsia="zh-CN"/>
              </w:rPr>
              <w:t>and according to</w:t>
            </w:r>
            <w:r w:rsidRPr="00ED4AF8">
              <w:rPr>
                <w:lang w:eastAsia="zh-CN"/>
              </w:rPr>
              <w:t xml:space="preserve"> the values of higher layer parameter</w:t>
            </w:r>
            <w:r w:rsidRPr="00ED4AF8">
              <w:rPr>
                <w:rFonts w:hint="eastAsia"/>
                <w:i/>
                <w:iCs/>
                <w:lang w:eastAsia="zh-CN"/>
              </w:rPr>
              <w:t xml:space="preserve"> codebookSubset</w:t>
            </w:r>
            <w:r w:rsidRPr="00ED4AF8">
              <w:rPr>
                <w:rFonts w:hint="eastAsia"/>
                <w:iCs/>
                <w:lang w:eastAsia="zh-CN"/>
              </w:rPr>
              <w:t>;</w:t>
            </w:r>
          </w:p>
          <w:p w14:paraId="521ABF89" w14:textId="77777777" w:rsidR="00004DAF" w:rsidRPr="00ED4AF8" w:rsidRDefault="00004DAF" w:rsidP="00004DAF">
            <w:pPr>
              <w:pStyle w:val="B2"/>
              <w:rPr>
                <w:lang w:eastAsia="zh-CN"/>
              </w:rPr>
            </w:pPr>
            <w:r w:rsidRPr="00ED4AF8">
              <w:rPr>
                <w:lang w:eastAsia="zh-CN"/>
              </w:rPr>
              <w:t>-</w:t>
            </w:r>
            <w:r w:rsidRPr="00ED4AF8">
              <w:rPr>
                <w:lang w:eastAsia="zh-CN"/>
              </w:rPr>
              <w:tab/>
            </w:r>
            <w:r w:rsidRPr="00ED4AF8">
              <w:rPr>
                <w:rFonts w:hint="eastAsia"/>
                <w:lang w:eastAsia="zh-CN"/>
              </w:rPr>
              <w:t>4</w:t>
            </w:r>
            <w:r w:rsidRPr="00ED4AF8">
              <w:rPr>
                <w:lang w:eastAsia="zh-CN"/>
              </w:rPr>
              <w:t xml:space="preserve"> </w:t>
            </w:r>
            <w:r w:rsidRPr="00ED4AF8">
              <w:rPr>
                <w:rFonts w:hint="eastAsia"/>
                <w:lang w:eastAsia="zh-CN"/>
              </w:rPr>
              <w:t xml:space="preserve">or </w:t>
            </w:r>
            <w:r w:rsidRPr="00ED4AF8">
              <w:rPr>
                <w:lang w:eastAsia="zh-CN"/>
              </w:rPr>
              <w:t>6</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B</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
                <w:iCs/>
                <w:lang w:eastAsia="zh-CN"/>
              </w:rPr>
              <w:t>,</w:t>
            </w:r>
            <w:r w:rsidRPr="00ED4AF8">
              <w:rPr>
                <w:rFonts w:hint="eastAsia"/>
                <w:lang w:eastAsia="zh-CN"/>
              </w:rPr>
              <w:t xml:space="preserve"> </w:t>
            </w:r>
            <w:r w:rsidRPr="00ED4AF8">
              <w:rPr>
                <w:i/>
                <w:iCs/>
                <w:lang w:eastAsia="zh-CN"/>
              </w:rPr>
              <w:t>maxRank=3 or 4,</w:t>
            </w:r>
            <w:r w:rsidRPr="00ED4AF8">
              <w:rPr>
                <w:rFonts w:hint="eastAsia"/>
                <w:lang w:eastAsia="zh-CN"/>
              </w:rPr>
              <w:t xml:space="preserve"> transform precoder is disabled, and </w:t>
            </w:r>
            <w:r w:rsidRPr="00ED4AF8">
              <w:rPr>
                <w:lang w:eastAsia="zh-CN"/>
              </w:rPr>
              <w:t xml:space="preserve">according to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r w:rsidRPr="00ED4AF8">
              <w:rPr>
                <w:rFonts w:hint="eastAsia"/>
                <w:i/>
                <w:iCs/>
                <w:lang w:eastAsia="zh-CN"/>
              </w:rPr>
              <w:t>codebookSubset</w:t>
            </w:r>
            <w:r w:rsidRPr="00ED4AF8">
              <w:rPr>
                <w:rFonts w:hint="eastAsia"/>
                <w:iCs/>
                <w:lang w:eastAsia="zh-CN"/>
              </w:rPr>
              <w:t>;</w:t>
            </w:r>
          </w:p>
          <w:p w14:paraId="6732D9E3" w14:textId="77777777" w:rsidR="00004DAF" w:rsidRPr="00ED4AF8" w:rsidRDefault="00004DAF" w:rsidP="00004DAF">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 xml:space="preserve">fullpowerMode2 </w:t>
            </w:r>
            <w:r w:rsidRPr="00ED4AF8">
              <w:rPr>
                <w:iCs/>
                <w:lang w:eastAsia="zh-CN"/>
              </w:rPr>
              <w:t xml:space="preserve">or 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r w:rsidRPr="00ED4AF8">
              <w:rPr>
                <w:i/>
                <w:iCs/>
                <w:lang w:eastAsia="zh-CN"/>
              </w:rPr>
              <w:t>maxRank</w:t>
            </w:r>
            <w:r w:rsidRPr="00ED4AF8">
              <w:rPr>
                <w:rFonts w:hint="eastAsia"/>
                <w:iCs/>
                <w:lang w:eastAsia="zh-CN"/>
              </w:rPr>
              <w:t xml:space="preserve">, and </w:t>
            </w:r>
            <w:r w:rsidRPr="00ED4AF8">
              <w:rPr>
                <w:rFonts w:hint="eastAsia"/>
                <w:i/>
                <w:iCs/>
                <w:lang w:eastAsia="zh-CN"/>
              </w:rPr>
              <w:t>codebookSubset</w:t>
            </w:r>
            <w:r w:rsidRPr="00ED4AF8">
              <w:rPr>
                <w:rFonts w:hint="eastAsia"/>
                <w:iCs/>
                <w:lang w:eastAsia="zh-CN"/>
              </w:rPr>
              <w:t>;</w:t>
            </w:r>
            <w:r w:rsidRPr="00ED4AF8">
              <w:rPr>
                <w:iCs/>
                <w:lang w:eastAsia="zh-CN"/>
              </w:rPr>
              <w:t xml:space="preserve"> </w:t>
            </w:r>
          </w:p>
          <w:p w14:paraId="24DDC19E" w14:textId="77777777" w:rsidR="00004DAF" w:rsidRPr="00ED4AF8" w:rsidRDefault="00004DAF" w:rsidP="00004DAF">
            <w:pPr>
              <w:pStyle w:val="B2"/>
              <w:rPr>
                <w:iCs/>
                <w:lang w:eastAsia="zh-CN"/>
              </w:rPr>
            </w:pPr>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Cs/>
                <w:lang w:eastAsia="zh-CN"/>
              </w:rPr>
              <w:t xml:space="preserve">, </w:t>
            </w:r>
            <w:r w:rsidRPr="00ED4AF8">
              <w:rPr>
                <w:i/>
                <w:iCs/>
                <w:lang w:eastAsia="zh-CN"/>
              </w:rPr>
              <w:t>maxRank=1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r w:rsidRPr="00ED4AF8">
              <w:rPr>
                <w:rFonts w:hint="eastAsia"/>
                <w:i/>
                <w:iCs/>
                <w:lang w:eastAsia="zh-CN"/>
              </w:rPr>
              <w:t>codebookSubset</w:t>
            </w:r>
            <w:r w:rsidRPr="00ED4AF8">
              <w:rPr>
                <w:rFonts w:hint="eastAsia"/>
                <w:iCs/>
                <w:lang w:eastAsia="zh-CN"/>
              </w:rPr>
              <w:t>;</w:t>
            </w:r>
          </w:p>
          <w:p w14:paraId="6A59904E" w14:textId="77777777" w:rsidR="00004DAF" w:rsidRPr="00ED4AF8" w:rsidRDefault="00004DAF" w:rsidP="00004DAF">
            <w:pPr>
              <w:pStyle w:val="B2"/>
              <w:rPr>
                <w:iCs/>
                <w:lang w:eastAsia="zh-CN"/>
              </w:rPr>
            </w:pPr>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r w:rsidRPr="00ED4AF8">
              <w:rPr>
                <w:i/>
                <w:iCs/>
              </w:rPr>
              <w:t>fullpower</w:t>
            </w:r>
            <w:r w:rsidRPr="00ED4AF8">
              <w:rPr>
                <w:i/>
                <w:iCs/>
                <w:lang w:eastAsia="zh-CN"/>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iCs/>
                <w:lang w:eastAsia="zh-CN"/>
              </w:rPr>
              <w:t>maxRank</w:t>
            </w:r>
            <w:r w:rsidRPr="00ED4AF8">
              <w:rPr>
                <w:rFonts w:hint="eastAsia"/>
                <w:iCs/>
                <w:lang w:eastAsia="zh-CN"/>
              </w:rPr>
              <w:t xml:space="preserve"> and </w:t>
            </w:r>
            <w:r w:rsidRPr="00ED4AF8">
              <w:rPr>
                <w:rFonts w:hint="eastAsia"/>
                <w:i/>
                <w:iCs/>
                <w:lang w:eastAsia="zh-CN"/>
              </w:rPr>
              <w:t>codebookSubset</w:t>
            </w:r>
            <w:r w:rsidRPr="00ED4AF8">
              <w:rPr>
                <w:rFonts w:hint="eastAsia"/>
                <w:iCs/>
                <w:lang w:eastAsia="zh-CN"/>
              </w:rPr>
              <w:t>;</w:t>
            </w:r>
            <w:r w:rsidRPr="00ED4AF8">
              <w:rPr>
                <w:iCs/>
                <w:lang w:eastAsia="zh-CN"/>
              </w:rPr>
              <w:t xml:space="preserve"> </w:t>
            </w:r>
          </w:p>
          <w:p w14:paraId="0901EC3D" w14:textId="77777777" w:rsidR="00004DAF" w:rsidRPr="00ED4AF8" w:rsidRDefault="00004DAF" w:rsidP="00004DAF">
            <w:pPr>
              <w:pStyle w:val="B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Cs/>
                <w:lang w:eastAsia="zh-CN"/>
              </w:rPr>
              <w:t xml:space="preserve">, </w:t>
            </w:r>
            <w:r w:rsidRPr="00ED4AF8">
              <w:rPr>
                <w:rFonts w:hint="eastAsia"/>
                <w:lang w:eastAsia="zh-CN"/>
              </w:rPr>
              <w:t xml:space="preserve">transform precoder is disabled, </w:t>
            </w:r>
            <w:r w:rsidRPr="00ED4AF8">
              <w:rPr>
                <w:i/>
                <w:iCs/>
                <w:lang w:eastAsia="zh-CN"/>
              </w:rPr>
              <w:t>maxRank=2</w:t>
            </w:r>
            <w:r w:rsidRPr="00ED4AF8">
              <w:rPr>
                <w:rFonts w:hint="eastAsia"/>
                <w:iCs/>
                <w:lang w:eastAsia="zh-CN"/>
              </w:rPr>
              <w:t xml:space="preserve">, and </w:t>
            </w:r>
            <w:r w:rsidRPr="00ED4AF8">
              <w:rPr>
                <w:rFonts w:hint="eastAsia"/>
                <w:i/>
                <w:iCs/>
                <w:lang w:eastAsia="zh-CN"/>
              </w:rPr>
              <w:t>codebookSubset</w:t>
            </w:r>
            <w:r w:rsidRPr="00ED4AF8">
              <w:rPr>
                <w:i/>
                <w:iCs/>
                <w:lang w:eastAsia="zh-CN"/>
              </w:rPr>
              <w:t>=nonCoherent</w:t>
            </w:r>
            <w:r w:rsidRPr="00ED4AF8">
              <w:rPr>
                <w:rFonts w:hint="eastAsia"/>
                <w:iCs/>
                <w:lang w:eastAsia="zh-CN"/>
              </w:rPr>
              <w:t>;</w:t>
            </w:r>
          </w:p>
          <w:p w14:paraId="29D082DB" w14:textId="77777777" w:rsidR="00004DAF" w:rsidRPr="00ED4AF8" w:rsidRDefault="00004DAF" w:rsidP="00004DAF">
            <w:pPr>
              <w:pStyle w:val="B2"/>
              <w:rPr>
                <w:lang w:eastAsia="zh-CN"/>
              </w:rPr>
            </w:pPr>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r w:rsidRPr="00ED4AF8">
              <w:rPr>
                <w:i/>
                <w:iCs/>
                <w:lang w:eastAsia="zh-CN"/>
              </w:rPr>
              <w:t>maxRank</w:t>
            </w:r>
            <w:r w:rsidRPr="00ED4AF8">
              <w:rPr>
                <w:rFonts w:hint="eastAsia"/>
                <w:iCs/>
                <w:lang w:eastAsia="zh-CN"/>
              </w:rPr>
              <w:t xml:space="preserve"> and </w:t>
            </w:r>
            <w:r w:rsidRPr="00ED4AF8">
              <w:rPr>
                <w:rFonts w:hint="eastAsia"/>
                <w:i/>
                <w:iCs/>
                <w:lang w:eastAsia="zh-CN"/>
              </w:rPr>
              <w:t>codebookSubset</w:t>
            </w:r>
            <w:r w:rsidRPr="00ED4AF8">
              <w:rPr>
                <w:lang w:eastAsia="zh-CN"/>
              </w:rPr>
              <w:t xml:space="preserve">; </w:t>
            </w:r>
          </w:p>
          <w:p w14:paraId="3F38C2DB" w14:textId="77777777" w:rsidR="00004DAF" w:rsidRPr="00ED4AF8" w:rsidRDefault="00004DAF" w:rsidP="00004DAF">
            <w:pPr>
              <w:pStyle w:val="B2"/>
              <w:ind w:leftChars="283" w:left="848" w:hangingChars="141" w:hanging="28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Cs/>
                <w:lang w:eastAsia="zh-CN"/>
              </w:rPr>
              <w:t xml:space="preserve">, </w:t>
            </w:r>
            <w:r w:rsidRPr="00ED4AF8">
              <w:rPr>
                <w:i/>
                <w:iCs/>
                <w:lang w:eastAsia="zh-CN"/>
              </w:rPr>
              <w:t>maxRank=1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w:t>
            </w:r>
            <w:r w:rsidRPr="00ED4AF8">
              <w:rPr>
                <w:rFonts w:hint="eastAsia"/>
                <w:iCs/>
                <w:lang w:eastAsia="zh-CN"/>
              </w:rPr>
              <w:t xml:space="preserve"> </w:t>
            </w:r>
            <w:r w:rsidRPr="00ED4AF8">
              <w:rPr>
                <w:rFonts w:hint="eastAsia"/>
                <w:i/>
                <w:iCs/>
                <w:lang w:eastAsia="zh-CN"/>
              </w:rPr>
              <w:t>codebookSubset</w:t>
            </w:r>
            <w:r w:rsidRPr="00ED4AF8">
              <w:rPr>
                <w:rFonts w:hint="eastAsia"/>
                <w:iCs/>
                <w:lang w:eastAsia="zh-CN"/>
              </w:rPr>
              <w:t>;</w:t>
            </w:r>
          </w:p>
          <w:p w14:paraId="7F982758" w14:textId="77777777" w:rsidR="00004DAF" w:rsidRPr="00004DAF" w:rsidRDefault="00004DAF" w:rsidP="00004DAF">
            <w:pPr>
              <w:pStyle w:val="B1"/>
              <w:ind w:hanging="1"/>
              <w:rPr>
                <w:lang w:eastAsia="zh-CN"/>
              </w:rPr>
            </w:pPr>
            <w:r w:rsidRPr="00004DAF">
              <w:rPr>
                <w:rFonts w:hint="eastAsia"/>
                <w:lang w:eastAsia="zh-CN"/>
              </w:rPr>
              <w:t>For</w:t>
            </w:r>
            <w:r w:rsidRPr="00004DAF">
              <w:rPr>
                <w:lang w:eastAsia="zh-CN"/>
              </w:rPr>
              <w:t xml:space="preserve"> the higher layer parameter </w:t>
            </w:r>
            <w:r w:rsidRPr="00004DAF">
              <w:rPr>
                <w:i/>
                <w:lang w:eastAsia="zh-CN"/>
              </w:rPr>
              <w:t>txConfig=codebook</w:t>
            </w:r>
            <w:r w:rsidRPr="00004DAF">
              <w:rPr>
                <w:lang w:eastAsia="zh-CN"/>
              </w:rPr>
              <w:t xml:space="preserve">, if </w:t>
            </w:r>
            <w:r w:rsidRPr="00004DAF">
              <w:rPr>
                <w:i/>
                <w:iCs/>
              </w:rPr>
              <w:t>ul-FullPowerTransmission</w:t>
            </w:r>
            <w:r w:rsidRPr="00004DAF">
              <w:rPr>
                <w:lang w:eastAsia="zh-CN"/>
              </w:rPr>
              <w:t xml:space="preserve"> is configured to </w:t>
            </w:r>
            <w:r w:rsidRPr="00004DAF">
              <w:rPr>
                <w:i/>
                <w:iCs/>
              </w:rPr>
              <w:t>fullpowerMode2</w:t>
            </w:r>
            <w:r w:rsidRPr="00004DAF">
              <w:rPr>
                <w:lang w:eastAsia="zh-CN"/>
              </w:rPr>
              <w:t>, maxRank 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6332EA94" w14:textId="7026F91D" w:rsidR="00004DAF" w:rsidRPr="00004DAF" w:rsidRDefault="00004DAF" w:rsidP="00004DAF">
            <w:pPr>
              <w:pStyle w:val="B1"/>
              <w:ind w:hanging="1"/>
              <w:rPr>
                <w:rFonts w:eastAsia="SimSun"/>
                <w:lang w:eastAsia="zh-CN"/>
              </w:rPr>
            </w:pPr>
            <w:r w:rsidRPr="00004DAF">
              <w:rPr>
                <w:lang w:eastAsia="zh-CN"/>
              </w:rPr>
              <w:t xml:space="preserve">For the higher layer parameter </w:t>
            </w:r>
            <w:r w:rsidRPr="00004DAF">
              <w:rPr>
                <w:i/>
              </w:rPr>
              <w:t>txConfig</w:t>
            </w:r>
            <w:r w:rsidRPr="00004DAF">
              <w:rPr>
                <w:rFonts w:hint="eastAsia"/>
                <w:i/>
                <w:lang w:eastAsia="zh-CN"/>
              </w:rPr>
              <w:t xml:space="preserve"> = </w:t>
            </w:r>
            <w:r w:rsidRPr="00004DAF">
              <w:rPr>
                <w:i/>
                <w:lang w:eastAsia="zh-CN"/>
              </w:rPr>
              <w:t>code</w:t>
            </w:r>
            <w:r w:rsidRPr="00004DAF">
              <w:rPr>
                <w:rFonts w:hint="eastAsia"/>
                <w:i/>
                <w:lang w:eastAsia="zh-CN"/>
              </w:rPr>
              <w:t>b</w:t>
            </w:r>
            <w:r w:rsidRPr="00004DAF">
              <w:rPr>
                <w:i/>
                <w:lang w:eastAsia="zh-CN"/>
              </w:rPr>
              <w:t>ook</w:t>
            </w:r>
            <w:r w:rsidRPr="00004DAF">
              <w:rPr>
                <w:lang w:eastAsia="zh-CN"/>
              </w:rPr>
              <w:t xml:space="preserve">, if different SRS resources with different number of antenna ports are configured, the bitwidth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004DAF">
              <w:rPr>
                <w:rFonts w:eastAsia="DengXian"/>
                <w:lang w:eastAsia="zh-CN"/>
              </w:rPr>
              <w:t xml:space="preserve">a number of </w:t>
            </w:r>
            <w:r w:rsidRPr="00004DAF">
              <w:rPr>
                <w:rFonts w:eastAsia="MS Mincho"/>
                <w:kern w:val="2"/>
              </w:rPr>
              <w:t xml:space="preserve">most significant bits with value set to '0' are inserted </w:t>
            </w:r>
            <w:r w:rsidRPr="00004DAF">
              <w:rPr>
                <w:rFonts w:eastAsia="DengXian"/>
                <w:lang w:eastAsia="zh-CN"/>
              </w:rPr>
              <w:t>to the field</w:t>
            </w:r>
            <w:r w:rsidRPr="00004DAF">
              <w:rPr>
                <w:lang w:eastAsia="zh-CN"/>
              </w:rPr>
              <w:t>.</w:t>
            </w:r>
          </w:p>
        </w:tc>
      </w:tr>
    </w:tbl>
    <w:p w14:paraId="3D001491" w14:textId="46286E9C" w:rsidR="00041340" w:rsidRDefault="00041340" w:rsidP="00004DAF">
      <w:pPr>
        <w:pStyle w:val="LGTdoc1"/>
        <w:snapToGrid/>
        <w:spacing w:beforeLines="0" w:before="100" w:beforeAutospacing="1" w:line="360" w:lineRule="auto"/>
        <w:contextualSpacing/>
        <w:rPr>
          <w:sz w:val="22"/>
          <w:lang w:val="en-US"/>
        </w:rPr>
      </w:pPr>
    </w:p>
    <w:p w14:paraId="18283AA1" w14:textId="5A5DF1CD" w:rsidR="00041340" w:rsidRPr="00041340" w:rsidRDefault="00041340" w:rsidP="00004DAF">
      <w:pPr>
        <w:pStyle w:val="LGTdoc1"/>
        <w:snapToGrid/>
        <w:spacing w:beforeLines="0" w:before="100" w:beforeAutospacing="1" w:line="360" w:lineRule="auto"/>
        <w:contextualSpacing/>
        <w:rPr>
          <w:b w:val="0"/>
          <w:sz w:val="22"/>
          <w:lang w:val="en-US"/>
        </w:rPr>
      </w:pPr>
      <w:r w:rsidRPr="00041340">
        <w:rPr>
          <w:rFonts w:hint="eastAsia"/>
          <w:b w:val="0"/>
          <w:sz w:val="22"/>
          <w:lang w:val="en-US"/>
        </w:rPr>
        <w:t>Based on above observation, we propose the following:</w:t>
      </w:r>
    </w:p>
    <w:p w14:paraId="2B01EE54" w14:textId="77777777" w:rsidR="00004DAF" w:rsidRPr="00792D2F" w:rsidRDefault="00004DAF" w:rsidP="005A7654">
      <w:pPr>
        <w:pStyle w:val="LGTdoc1"/>
        <w:snapToGrid/>
        <w:spacing w:beforeLines="0" w:before="100" w:beforeAutospacing="1" w:line="360" w:lineRule="auto"/>
        <w:contextualSpacing/>
        <w:rPr>
          <w:sz w:val="22"/>
          <w:lang w:val="en-US"/>
        </w:rPr>
      </w:pPr>
    </w:p>
    <w:p w14:paraId="56FEB48E" w14:textId="6777C1C3" w:rsidR="00792D2F" w:rsidRDefault="00792D2F" w:rsidP="00792D2F">
      <w:pPr>
        <w:pStyle w:val="LGTdoc1"/>
        <w:snapToGrid/>
        <w:spacing w:beforeLines="0" w:before="100" w:beforeAutospacing="1" w:line="360" w:lineRule="auto"/>
        <w:contextualSpacing/>
        <w:rPr>
          <w:sz w:val="22"/>
          <w:lang w:val="en-US"/>
        </w:rPr>
      </w:pPr>
      <w:r w:rsidRPr="007E53EF">
        <w:rPr>
          <w:sz w:val="22"/>
          <w:lang w:val="en-US"/>
        </w:rPr>
        <w:t>Proposal #</w:t>
      </w:r>
      <w:r w:rsidR="003A4B70">
        <w:rPr>
          <w:sz w:val="22"/>
          <w:lang w:val="en-US"/>
        </w:rPr>
        <w:t>10</w:t>
      </w:r>
      <w:r w:rsidRPr="007E53EF">
        <w:rPr>
          <w:sz w:val="22"/>
          <w:lang w:val="en-US"/>
        </w:rPr>
        <w:t xml:space="preserve">: </w:t>
      </w:r>
      <w:r w:rsidR="00041340" w:rsidRPr="007E53EF">
        <w:rPr>
          <w:sz w:val="22"/>
          <w:lang w:val="en-US"/>
        </w:rPr>
        <w:t>how to</w:t>
      </w:r>
      <w:r w:rsidR="00041340">
        <w:rPr>
          <w:sz w:val="22"/>
          <w:lang w:val="en-US"/>
        </w:rPr>
        <w:t xml:space="preserve"> update the number of SRS ports should be decided</w:t>
      </w:r>
    </w:p>
    <w:p w14:paraId="2F2A89E4" w14:textId="7C24CB3E" w:rsidR="00041340" w:rsidRDefault="00041340" w:rsidP="00622D5B">
      <w:pPr>
        <w:pStyle w:val="LGTdoc1"/>
        <w:numPr>
          <w:ilvl w:val="0"/>
          <w:numId w:val="2"/>
        </w:numPr>
        <w:snapToGrid/>
        <w:spacing w:beforeLines="0" w:before="100" w:beforeAutospacing="1" w:line="360" w:lineRule="auto"/>
        <w:contextualSpacing/>
        <w:rPr>
          <w:sz w:val="22"/>
          <w:lang w:val="en-US"/>
        </w:rPr>
      </w:pPr>
      <w:r>
        <w:rPr>
          <w:sz w:val="22"/>
          <w:lang w:val="en-US"/>
        </w:rPr>
        <w:t xml:space="preserve">Alt1. via UL BWP switching </w:t>
      </w:r>
      <w:r w:rsidR="00F265C9">
        <w:rPr>
          <w:sz w:val="22"/>
          <w:lang w:val="en-US"/>
        </w:rPr>
        <w:t xml:space="preserve">where each UL BWP has different number of </w:t>
      </w:r>
      <w:r w:rsidR="00971C94">
        <w:rPr>
          <w:sz w:val="22"/>
          <w:lang w:val="en-US"/>
        </w:rPr>
        <w:t xml:space="preserve">SRS </w:t>
      </w:r>
      <w:r w:rsidR="00F265C9">
        <w:rPr>
          <w:sz w:val="22"/>
          <w:lang w:val="en-US"/>
        </w:rPr>
        <w:t>ports</w:t>
      </w:r>
    </w:p>
    <w:p w14:paraId="67477B6E" w14:textId="28ADEE95" w:rsidR="00041340" w:rsidRDefault="00041340" w:rsidP="00622D5B">
      <w:pPr>
        <w:pStyle w:val="LGTdoc1"/>
        <w:numPr>
          <w:ilvl w:val="1"/>
          <w:numId w:val="2"/>
        </w:numPr>
        <w:snapToGrid/>
        <w:spacing w:beforeLines="0" w:before="100" w:beforeAutospacing="1" w:line="360" w:lineRule="auto"/>
        <w:contextualSpacing/>
        <w:rPr>
          <w:sz w:val="22"/>
          <w:lang w:val="en-US"/>
        </w:rPr>
      </w:pPr>
      <w:r>
        <w:rPr>
          <w:sz w:val="22"/>
          <w:lang w:val="en-US"/>
        </w:rPr>
        <w:t>For this alt, it needs to be clarified how to handle BWP fallback mechanism which would let NW to control UE panel, i.e. switch to a specific UE panel or panel type when timer expires.</w:t>
      </w:r>
    </w:p>
    <w:p w14:paraId="7122E7F1" w14:textId="472E561D" w:rsidR="00041340" w:rsidRDefault="00041340" w:rsidP="00622D5B">
      <w:pPr>
        <w:pStyle w:val="LGTdoc1"/>
        <w:numPr>
          <w:ilvl w:val="0"/>
          <w:numId w:val="2"/>
        </w:numPr>
        <w:snapToGrid/>
        <w:spacing w:beforeLines="0" w:before="100" w:beforeAutospacing="1" w:line="360" w:lineRule="auto"/>
        <w:contextualSpacing/>
        <w:rPr>
          <w:sz w:val="22"/>
          <w:lang w:val="en-US"/>
        </w:rPr>
      </w:pPr>
      <w:r>
        <w:rPr>
          <w:sz w:val="22"/>
          <w:lang w:val="en-US"/>
        </w:rPr>
        <w:t xml:space="preserve">Alt2. via SRS resource set </w:t>
      </w:r>
      <w:r w:rsidR="00143A51">
        <w:rPr>
          <w:sz w:val="22"/>
          <w:lang w:val="en-US"/>
        </w:rPr>
        <w:t>selection by DCI</w:t>
      </w:r>
      <w:r w:rsidR="00F265C9">
        <w:rPr>
          <w:sz w:val="22"/>
          <w:lang w:val="en-US"/>
        </w:rPr>
        <w:t xml:space="preserve"> where each set has different number of ports</w:t>
      </w:r>
    </w:p>
    <w:p w14:paraId="598BCBE2" w14:textId="36E79C64" w:rsidR="00041340" w:rsidRDefault="00041340" w:rsidP="00622D5B">
      <w:pPr>
        <w:pStyle w:val="LGTdoc1"/>
        <w:numPr>
          <w:ilvl w:val="1"/>
          <w:numId w:val="2"/>
        </w:numPr>
        <w:snapToGrid/>
        <w:spacing w:beforeLines="0" w:before="100" w:beforeAutospacing="1" w:line="360" w:lineRule="auto"/>
        <w:contextualSpacing/>
        <w:rPr>
          <w:sz w:val="22"/>
          <w:lang w:val="en-US"/>
        </w:rPr>
      </w:pPr>
      <w:r>
        <w:rPr>
          <w:sz w:val="22"/>
          <w:lang w:val="en-US"/>
        </w:rPr>
        <w:t xml:space="preserve">Note1: </w:t>
      </w:r>
      <w:r w:rsidR="00F265C9">
        <w:rPr>
          <w:sz w:val="22"/>
          <w:lang w:val="en-US"/>
        </w:rPr>
        <w:t>‘SRS resource set indicator’ is already specified in DCI format 0_1/0_2 and it provides functionality to select one SRS resource set by the DCI between two SRS resource sets configured by RRC</w:t>
      </w:r>
    </w:p>
    <w:p w14:paraId="1704DFC6" w14:textId="70E4412E" w:rsidR="00041340" w:rsidRPr="009E2EF2" w:rsidRDefault="00041340" w:rsidP="00622D5B">
      <w:pPr>
        <w:pStyle w:val="LGTdoc1"/>
        <w:numPr>
          <w:ilvl w:val="1"/>
          <w:numId w:val="2"/>
        </w:numPr>
        <w:snapToGrid/>
        <w:spacing w:beforeLines="0" w:before="100" w:beforeAutospacing="1" w:line="360" w:lineRule="auto"/>
        <w:contextualSpacing/>
        <w:rPr>
          <w:sz w:val="22"/>
          <w:lang w:val="en-US"/>
        </w:rPr>
      </w:pPr>
      <w:r>
        <w:rPr>
          <w:sz w:val="22"/>
          <w:lang w:val="en-US"/>
        </w:rPr>
        <w:lastRenderedPageBreak/>
        <w:t xml:space="preserve">Note2: TPMI/TRI mapping for varying number of SRS ports is already specified for </w:t>
      </w:r>
      <w:r w:rsidRPr="00041340">
        <w:rPr>
          <w:i/>
          <w:sz w:val="22"/>
          <w:lang w:val="en-US"/>
        </w:rPr>
        <w:t>fullpowerMode2</w:t>
      </w:r>
      <w:r w:rsidRPr="00041340">
        <w:rPr>
          <w:sz w:val="22"/>
          <w:lang w:val="en-US"/>
        </w:rPr>
        <w:t>.</w:t>
      </w:r>
    </w:p>
    <w:p w14:paraId="400EDDBA" w14:textId="77777777" w:rsidR="00792D2F" w:rsidRDefault="00792D2F" w:rsidP="005A7654">
      <w:pPr>
        <w:pStyle w:val="LGTdoc1"/>
        <w:snapToGrid/>
        <w:spacing w:beforeLines="0" w:before="100" w:beforeAutospacing="1" w:line="360" w:lineRule="auto"/>
        <w:contextualSpacing/>
        <w:rPr>
          <w:sz w:val="22"/>
          <w:lang w:val="en-US"/>
        </w:rPr>
      </w:pPr>
    </w:p>
    <w:p w14:paraId="12C31DB6" w14:textId="6EEB4AE3" w:rsidR="00F265C9" w:rsidRPr="00F265C9" w:rsidRDefault="00F265C9" w:rsidP="005A7654">
      <w:pPr>
        <w:pStyle w:val="LGTdoc1"/>
        <w:snapToGrid/>
        <w:spacing w:beforeLines="0" w:before="100" w:beforeAutospacing="1" w:line="360" w:lineRule="auto"/>
        <w:contextualSpacing/>
        <w:rPr>
          <w:b w:val="0"/>
          <w:sz w:val="22"/>
          <w:lang w:val="en-US"/>
        </w:rPr>
      </w:pPr>
      <w:r w:rsidRPr="00F265C9">
        <w:rPr>
          <w:rFonts w:hint="eastAsia"/>
          <w:b w:val="0"/>
          <w:sz w:val="22"/>
          <w:lang w:val="en-US"/>
        </w:rPr>
        <w:t xml:space="preserve">Among above alternatives, </w:t>
      </w:r>
      <w:r w:rsidRPr="00971C94">
        <w:rPr>
          <w:rFonts w:hint="eastAsia"/>
          <w:b w:val="0"/>
          <w:sz w:val="22"/>
          <w:u w:val="single"/>
          <w:lang w:val="en-US"/>
        </w:rPr>
        <w:t>our preference is Alt2</w:t>
      </w:r>
      <w:r w:rsidRPr="00F265C9">
        <w:rPr>
          <w:rFonts w:hint="eastAsia"/>
          <w:b w:val="0"/>
          <w:sz w:val="22"/>
          <w:lang w:val="en-US"/>
        </w:rPr>
        <w:t xml:space="preserve"> </w:t>
      </w:r>
      <w:r>
        <w:rPr>
          <w:b w:val="0"/>
          <w:sz w:val="22"/>
          <w:lang w:val="en-US"/>
        </w:rPr>
        <w:t>since Alt1 requires quite a large RRC overhead</w:t>
      </w:r>
      <w:r w:rsidR="00971C94">
        <w:rPr>
          <w:b w:val="0"/>
          <w:sz w:val="22"/>
          <w:lang w:val="en-US"/>
        </w:rPr>
        <w:t xml:space="preserve"> as explained earlier</w:t>
      </w:r>
      <w:r>
        <w:rPr>
          <w:b w:val="0"/>
          <w:sz w:val="22"/>
          <w:lang w:val="en-US"/>
        </w:rPr>
        <w:t>.</w:t>
      </w:r>
      <w:r w:rsidR="00971C94">
        <w:rPr>
          <w:b w:val="0"/>
          <w:sz w:val="22"/>
          <w:lang w:val="en-US"/>
        </w:rPr>
        <w:t xml:space="preserve"> In addition, we should also note that Alt2 is much more forward compatible for simultaneous multi-panel transmission to be discussed in Rel-18. </w:t>
      </w:r>
    </w:p>
    <w:p w14:paraId="62578211" w14:textId="77777777" w:rsidR="00F265C9" w:rsidRPr="00971C94" w:rsidRDefault="00F265C9" w:rsidP="005A7654">
      <w:pPr>
        <w:pStyle w:val="LGTdoc1"/>
        <w:snapToGrid/>
        <w:spacing w:beforeLines="0" w:before="100" w:beforeAutospacing="1" w:line="360" w:lineRule="auto"/>
        <w:contextualSpacing/>
        <w:rPr>
          <w:sz w:val="22"/>
          <w:lang w:val="en-US"/>
        </w:rPr>
      </w:pPr>
    </w:p>
    <w:p w14:paraId="0521FD2C" w14:textId="7727D2A0" w:rsidR="00792D2F" w:rsidRPr="00431422" w:rsidRDefault="00792D2F" w:rsidP="00792D2F">
      <w:pPr>
        <w:pStyle w:val="LGTdoc1"/>
        <w:snapToGrid/>
        <w:spacing w:beforeLines="0" w:before="100" w:beforeAutospacing="1" w:line="360" w:lineRule="auto"/>
        <w:contextualSpacing/>
        <w:rPr>
          <w:sz w:val="22"/>
          <w:lang w:val="en-US"/>
        </w:rPr>
      </w:pPr>
      <w:r w:rsidRPr="00431422">
        <w:rPr>
          <w:sz w:val="22"/>
          <w:lang w:val="en-US"/>
        </w:rPr>
        <w:t>Issue</w:t>
      </w:r>
      <w:r w:rsidR="00576448">
        <w:rPr>
          <w:sz w:val="22"/>
          <w:lang w:val="en-US"/>
        </w:rPr>
        <w:t xml:space="preserve"> 4-</w:t>
      </w:r>
      <w:r w:rsidR="00143A51">
        <w:rPr>
          <w:sz w:val="22"/>
          <w:lang w:val="en-US"/>
        </w:rPr>
        <w:t>3</w:t>
      </w:r>
      <w:r w:rsidRPr="00431422">
        <w:rPr>
          <w:sz w:val="22"/>
          <w:lang w:val="en-US"/>
        </w:rPr>
        <w:t xml:space="preserve">: </w:t>
      </w:r>
      <w:r w:rsidRPr="006F5E7A">
        <w:rPr>
          <w:sz w:val="22"/>
          <w:lang w:val="en-US"/>
        </w:rPr>
        <w:t xml:space="preserve">acknowledgement mechanism </w:t>
      </w:r>
      <w:r>
        <w:rPr>
          <w:sz w:val="22"/>
          <w:lang w:val="en-US"/>
        </w:rPr>
        <w:t xml:space="preserve">to </w:t>
      </w:r>
      <w:r w:rsidRPr="006F5E7A">
        <w:rPr>
          <w:sz w:val="22"/>
          <w:lang w:val="en-US"/>
        </w:rPr>
        <w:t>the reported correspondence from NW to UE</w:t>
      </w:r>
    </w:p>
    <w:p w14:paraId="03FA360A" w14:textId="17A1474D" w:rsidR="00792D2F" w:rsidRDefault="00792D2F" w:rsidP="00361691">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The acknowledgement was agreed as working assumption. The necessity of acknowledgement is to avoid the case when NW does not receive UCI correctly. For example, when UE wants to switch from 4 port panel to 2 port panel, if UE switches the panel right after sending UCI containing the correspondence information but NW </w:t>
      </w:r>
      <w:r w:rsidR="00971C94">
        <w:rPr>
          <w:b w:val="0"/>
          <w:sz w:val="22"/>
          <w:lang w:val="en-US"/>
        </w:rPr>
        <w:t>missed</w:t>
      </w:r>
      <w:r>
        <w:rPr>
          <w:b w:val="0"/>
          <w:sz w:val="22"/>
          <w:lang w:val="en-US"/>
        </w:rPr>
        <w:t xml:space="preserve"> the UCI, NW could indicate a wrong TPMI/TRI (e.g. indicating rank 3 transmission). In our view, the acknowledgement is necessary but can be replaced by NW signaling related to ‘action’ after receiving the UCI. In addition, it should also be noted that the acknowledgement is not always necessary, e.g. when UE maintains the same panel</w:t>
      </w:r>
      <w:r w:rsidR="006A5E0C">
        <w:rPr>
          <w:b w:val="0"/>
          <w:sz w:val="22"/>
          <w:lang w:val="en-US"/>
        </w:rPr>
        <w:t>(s)</w:t>
      </w:r>
      <w:r>
        <w:rPr>
          <w:b w:val="0"/>
          <w:sz w:val="22"/>
          <w:lang w:val="en-US"/>
        </w:rPr>
        <w:t xml:space="preserve"> as before. </w:t>
      </w:r>
    </w:p>
    <w:p w14:paraId="30F7C1D3" w14:textId="77777777" w:rsidR="00792D2F" w:rsidRPr="006A5E0C" w:rsidRDefault="00792D2F" w:rsidP="00792D2F">
      <w:pPr>
        <w:pStyle w:val="LGTdoc1"/>
        <w:snapToGrid/>
        <w:spacing w:beforeLines="0" w:before="100" w:beforeAutospacing="1" w:line="360" w:lineRule="auto"/>
        <w:contextualSpacing/>
        <w:rPr>
          <w:sz w:val="22"/>
          <w:lang w:val="en-US"/>
        </w:rPr>
      </w:pPr>
    </w:p>
    <w:p w14:paraId="2BD38B3A" w14:textId="3C817A6C" w:rsidR="00792D2F" w:rsidRPr="009E2EF2" w:rsidRDefault="00792D2F" w:rsidP="00792D2F">
      <w:pPr>
        <w:pStyle w:val="LGTdoc1"/>
        <w:snapToGrid/>
        <w:spacing w:beforeLines="0" w:before="100" w:beforeAutospacing="1" w:line="360" w:lineRule="auto"/>
        <w:contextualSpacing/>
        <w:rPr>
          <w:sz w:val="22"/>
          <w:lang w:val="en-US"/>
        </w:rPr>
      </w:pPr>
      <w:r w:rsidRPr="007E53EF">
        <w:rPr>
          <w:sz w:val="22"/>
          <w:lang w:val="en-US"/>
        </w:rPr>
        <w:t>Observation #</w:t>
      </w:r>
      <w:r w:rsidR="003A4B70">
        <w:rPr>
          <w:sz w:val="22"/>
          <w:lang w:val="en-US"/>
        </w:rPr>
        <w:t>1</w:t>
      </w:r>
      <w:r w:rsidRPr="007E53EF">
        <w:rPr>
          <w:sz w:val="22"/>
          <w:lang w:val="en-US"/>
        </w:rPr>
        <w:t>: Acknowledgement</w:t>
      </w:r>
      <w:r w:rsidRPr="009E2EF2">
        <w:rPr>
          <w:sz w:val="22"/>
          <w:lang w:val="en-US"/>
        </w:rPr>
        <w:t xml:space="preserve"> to the reported correspondence is necessary only when </w:t>
      </w:r>
      <w:r>
        <w:rPr>
          <w:sz w:val="22"/>
          <w:lang w:val="en-US"/>
        </w:rPr>
        <w:t xml:space="preserve">the reported correspondence </w:t>
      </w:r>
      <w:r w:rsidRPr="009E2EF2">
        <w:rPr>
          <w:sz w:val="22"/>
          <w:lang w:val="en-US"/>
        </w:rPr>
        <w:t xml:space="preserve">is changed compared to the previous reporting and can be replaced by </w:t>
      </w:r>
      <w:r w:rsidR="006A5E0C">
        <w:rPr>
          <w:sz w:val="22"/>
          <w:lang w:val="en-US"/>
        </w:rPr>
        <w:t>a</w:t>
      </w:r>
      <w:r>
        <w:rPr>
          <w:sz w:val="22"/>
          <w:lang w:val="en-US"/>
        </w:rPr>
        <w:t xml:space="preserve"> signaling </w:t>
      </w:r>
      <w:r w:rsidR="006A5E0C">
        <w:rPr>
          <w:sz w:val="22"/>
          <w:lang w:val="en-US"/>
        </w:rPr>
        <w:t>regarding</w:t>
      </w:r>
      <w:r w:rsidRPr="009E2EF2">
        <w:rPr>
          <w:sz w:val="22"/>
          <w:lang w:val="en-US"/>
        </w:rPr>
        <w:t xml:space="preserve"> NW ‘action’ to </w:t>
      </w:r>
      <w:r>
        <w:rPr>
          <w:sz w:val="22"/>
          <w:lang w:val="en-US"/>
        </w:rPr>
        <w:t>address</w:t>
      </w:r>
      <w:r w:rsidRPr="009E2EF2">
        <w:rPr>
          <w:sz w:val="22"/>
          <w:lang w:val="en-US"/>
        </w:rPr>
        <w:t xml:space="preserve"> </w:t>
      </w:r>
      <w:r w:rsidR="006A5E0C">
        <w:rPr>
          <w:sz w:val="22"/>
          <w:lang w:val="en-US"/>
        </w:rPr>
        <w:t xml:space="preserve">the </w:t>
      </w:r>
      <w:r w:rsidRPr="009E2EF2">
        <w:rPr>
          <w:sz w:val="22"/>
          <w:lang w:val="en-US"/>
        </w:rPr>
        <w:t xml:space="preserve">UE panel </w:t>
      </w:r>
      <w:r w:rsidR="006A5E0C">
        <w:rPr>
          <w:sz w:val="22"/>
          <w:lang w:val="en-US"/>
        </w:rPr>
        <w:t>change</w:t>
      </w:r>
      <w:r w:rsidR="00F37C7A">
        <w:rPr>
          <w:sz w:val="22"/>
          <w:lang w:val="en-US"/>
        </w:rPr>
        <w:t>.</w:t>
      </w:r>
    </w:p>
    <w:p w14:paraId="6D910629" w14:textId="77777777" w:rsidR="00792D2F" w:rsidRPr="006A5E0C" w:rsidRDefault="00792D2F" w:rsidP="00792D2F">
      <w:pPr>
        <w:pStyle w:val="LGTdoc1"/>
        <w:snapToGrid/>
        <w:spacing w:beforeLines="0" w:before="100" w:beforeAutospacing="1" w:line="360" w:lineRule="auto"/>
        <w:contextualSpacing/>
        <w:rPr>
          <w:b w:val="0"/>
          <w:sz w:val="22"/>
          <w:lang w:val="en-US"/>
        </w:rPr>
      </w:pPr>
    </w:p>
    <w:p w14:paraId="6FA647C8" w14:textId="3B44D15D" w:rsidR="00792D2F" w:rsidRDefault="00792D2F" w:rsidP="00361691">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Regarding </w:t>
      </w:r>
      <w:r w:rsidRPr="009E2EF2">
        <w:rPr>
          <w:rFonts w:hint="eastAsia"/>
          <w:b w:val="0"/>
          <w:sz w:val="22"/>
          <w:lang w:val="en-US"/>
        </w:rPr>
        <w:t xml:space="preserve">the </w:t>
      </w:r>
      <w:r>
        <w:rPr>
          <w:b w:val="0"/>
          <w:sz w:val="22"/>
          <w:lang w:val="en-US"/>
        </w:rPr>
        <w:t xml:space="preserve">NW action, NW will likely update </w:t>
      </w:r>
      <w:r>
        <w:rPr>
          <w:rFonts w:hint="eastAsia"/>
          <w:b w:val="0"/>
          <w:sz w:val="22"/>
          <w:lang w:val="en-US"/>
        </w:rPr>
        <w:t xml:space="preserve">DL/UL TCI </w:t>
      </w:r>
      <w:r>
        <w:rPr>
          <w:b w:val="0"/>
          <w:sz w:val="22"/>
          <w:lang w:val="en-US"/>
        </w:rPr>
        <w:t>state since it is likely that reported CRI</w:t>
      </w:r>
      <w:r w:rsidR="006A5E0C">
        <w:rPr>
          <w:b w:val="0"/>
          <w:sz w:val="22"/>
          <w:lang w:val="en-US"/>
        </w:rPr>
        <w:t>(s)</w:t>
      </w:r>
      <w:r>
        <w:rPr>
          <w:b w:val="0"/>
          <w:sz w:val="22"/>
          <w:lang w:val="en-US"/>
        </w:rPr>
        <w:t>/SSBRI</w:t>
      </w:r>
      <w:r w:rsidR="006A5E0C">
        <w:rPr>
          <w:b w:val="0"/>
          <w:sz w:val="22"/>
          <w:lang w:val="en-US"/>
        </w:rPr>
        <w:t>(s)</w:t>
      </w:r>
      <w:r>
        <w:rPr>
          <w:b w:val="0"/>
          <w:sz w:val="22"/>
          <w:lang w:val="en-US"/>
        </w:rPr>
        <w:t xml:space="preserve"> would </w:t>
      </w:r>
      <w:r w:rsidR="006A5E0C">
        <w:rPr>
          <w:b w:val="0"/>
          <w:sz w:val="22"/>
          <w:lang w:val="en-US"/>
        </w:rPr>
        <w:t xml:space="preserve">likely </w:t>
      </w:r>
      <w:r>
        <w:rPr>
          <w:b w:val="0"/>
          <w:sz w:val="22"/>
          <w:lang w:val="en-US"/>
        </w:rPr>
        <w:t>be different from the previous</w:t>
      </w:r>
      <w:r w:rsidR="006A5E0C">
        <w:rPr>
          <w:b w:val="0"/>
          <w:sz w:val="22"/>
          <w:lang w:val="en-US"/>
        </w:rPr>
        <w:t>ly reported one(s) if</w:t>
      </w:r>
      <w:r>
        <w:rPr>
          <w:b w:val="0"/>
          <w:sz w:val="22"/>
          <w:lang w:val="en-US"/>
        </w:rPr>
        <w:t xml:space="preserve"> UE wants to switch the panel</w:t>
      </w:r>
      <w:r w:rsidR="006A5E0C">
        <w:rPr>
          <w:b w:val="0"/>
          <w:sz w:val="22"/>
          <w:lang w:val="en-US"/>
        </w:rPr>
        <w:t>(s)</w:t>
      </w:r>
      <w:r>
        <w:rPr>
          <w:b w:val="0"/>
          <w:sz w:val="22"/>
          <w:lang w:val="en-US"/>
        </w:rPr>
        <w:t xml:space="preserve">. One missing case might be </w:t>
      </w:r>
      <w:r w:rsidR="006A5E0C">
        <w:rPr>
          <w:b w:val="0"/>
          <w:sz w:val="22"/>
          <w:lang w:val="en-US"/>
        </w:rPr>
        <w:t>when NW does not need to update DL/UL TCI state when UE change the panel(s)</w:t>
      </w:r>
      <w:r w:rsidR="009A4390">
        <w:rPr>
          <w:b w:val="0"/>
          <w:sz w:val="22"/>
          <w:lang w:val="en-US"/>
        </w:rPr>
        <w:t>, e.g. same preferred CRI/SSBRI for multiple panels</w:t>
      </w:r>
      <w:r w:rsidR="006A5E0C">
        <w:rPr>
          <w:b w:val="0"/>
          <w:sz w:val="22"/>
          <w:lang w:val="en-US"/>
        </w:rPr>
        <w:t xml:space="preserve">. </w:t>
      </w:r>
      <w:r>
        <w:rPr>
          <w:b w:val="0"/>
          <w:sz w:val="22"/>
          <w:lang w:val="en-US"/>
        </w:rPr>
        <w:t xml:space="preserve">Even in this case, there could be subsequent NW signaling such as BWP switching or SRS resource set selection command </w:t>
      </w:r>
      <w:r w:rsidR="006A5E0C">
        <w:rPr>
          <w:b w:val="0"/>
          <w:sz w:val="22"/>
          <w:lang w:val="en-US"/>
        </w:rPr>
        <w:t xml:space="preserve">as </w:t>
      </w:r>
      <w:r w:rsidR="00971C94">
        <w:rPr>
          <w:b w:val="0"/>
          <w:sz w:val="22"/>
          <w:lang w:val="en-US"/>
        </w:rPr>
        <w:t>discussed</w:t>
      </w:r>
      <w:r w:rsidR="006A5E0C">
        <w:rPr>
          <w:b w:val="0"/>
          <w:sz w:val="22"/>
          <w:lang w:val="en-US"/>
        </w:rPr>
        <w:t xml:space="preserve"> previously. These</w:t>
      </w:r>
      <w:r>
        <w:rPr>
          <w:b w:val="0"/>
          <w:sz w:val="22"/>
          <w:lang w:val="en-US"/>
        </w:rPr>
        <w:t xml:space="preserve"> can act as acknowledgement to </w:t>
      </w:r>
      <w:r w:rsidRPr="009A7EC5">
        <w:rPr>
          <w:b w:val="0"/>
          <w:sz w:val="22"/>
          <w:lang w:val="en-US"/>
        </w:rPr>
        <w:t>the reported correspondence</w:t>
      </w:r>
      <w:r>
        <w:rPr>
          <w:b w:val="0"/>
          <w:sz w:val="22"/>
          <w:lang w:val="en-US"/>
        </w:rPr>
        <w:t>.</w:t>
      </w:r>
      <w:r w:rsidR="009A4390">
        <w:rPr>
          <w:b w:val="0"/>
          <w:sz w:val="22"/>
          <w:lang w:val="en-US"/>
        </w:rPr>
        <w:t xml:space="preserve"> Regarding this acknowledgement, it needs to be also clarified that which </w:t>
      </w:r>
      <w:r w:rsidR="009A4390">
        <w:rPr>
          <w:rFonts w:hint="eastAsia"/>
          <w:b w:val="0"/>
          <w:sz w:val="22"/>
          <w:lang w:val="en-US"/>
        </w:rPr>
        <w:t xml:space="preserve">UE </w:t>
      </w:r>
      <w:r w:rsidR="009A4390">
        <w:rPr>
          <w:b w:val="0"/>
          <w:sz w:val="22"/>
          <w:lang w:val="en-US"/>
        </w:rPr>
        <w:t>capability value set index is to be activated w</w:t>
      </w:r>
      <w:r w:rsidR="009A4390">
        <w:rPr>
          <w:rFonts w:hint="eastAsia"/>
          <w:b w:val="0"/>
          <w:sz w:val="22"/>
          <w:lang w:val="en-US"/>
        </w:rPr>
        <w:t xml:space="preserve">hen UE reported </w:t>
      </w:r>
      <w:r w:rsidR="009A4390">
        <w:rPr>
          <w:b w:val="0"/>
          <w:sz w:val="22"/>
          <w:lang w:val="en-US"/>
        </w:rPr>
        <w:t xml:space="preserve">multiple </w:t>
      </w:r>
      <w:r w:rsidR="009A4390">
        <w:rPr>
          <w:rFonts w:hint="eastAsia"/>
          <w:b w:val="0"/>
          <w:sz w:val="22"/>
          <w:lang w:val="en-US"/>
        </w:rPr>
        <w:t xml:space="preserve">UE </w:t>
      </w:r>
      <w:r w:rsidR="009A4390">
        <w:rPr>
          <w:b w:val="0"/>
          <w:sz w:val="22"/>
          <w:lang w:val="en-US"/>
        </w:rPr>
        <w:t>capability value set indices for multiple CRIs/SSBRIs</w:t>
      </w:r>
      <w:r w:rsidR="00321668">
        <w:rPr>
          <w:b w:val="0"/>
          <w:sz w:val="22"/>
          <w:lang w:val="en-US"/>
        </w:rPr>
        <w:t xml:space="preserve">, e.g. </w:t>
      </w:r>
      <w:r w:rsidR="00971C94">
        <w:rPr>
          <w:b w:val="0"/>
          <w:sz w:val="22"/>
          <w:lang w:val="en-US"/>
        </w:rPr>
        <w:t xml:space="preserve">whether to follow the </w:t>
      </w:r>
      <w:r w:rsidR="00321668">
        <w:rPr>
          <w:b w:val="0"/>
          <w:sz w:val="22"/>
          <w:lang w:val="en-US"/>
        </w:rPr>
        <w:t>most recent UE reported correspondence</w:t>
      </w:r>
      <w:r w:rsidR="00971C94">
        <w:rPr>
          <w:b w:val="0"/>
          <w:sz w:val="22"/>
          <w:lang w:val="en-US"/>
        </w:rPr>
        <w:t xml:space="preserve"> or NW to indicate one index</w:t>
      </w:r>
      <w:r w:rsidR="009A4390">
        <w:rPr>
          <w:b w:val="0"/>
          <w:sz w:val="22"/>
          <w:lang w:val="en-US"/>
        </w:rPr>
        <w:t>.</w:t>
      </w:r>
    </w:p>
    <w:p w14:paraId="591CAB48" w14:textId="77777777" w:rsidR="00792D2F" w:rsidRPr="00971C94" w:rsidRDefault="00792D2F" w:rsidP="00792D2F">
      <w:pPr>
        <w:pStyle w:val="LGTdoc1"/>
        <w:snapToGrid/>
        <w:spacing w:beforeLines="0" w:before="100" w:beforeAutospacing="1" w:line="360" w:lineRule="auto"/>
        <w:contextualSpacing/>
        <w:rPr>
          <w:b w:val="0"/>
          <w:sz w:val="22"/>
          <w:lang w:val="en-US"/>
        </w:rPr>
      </w:pPr>
    </w:p>
    <w:p w14:paraId="3BE3CB17" w14:textId="292697EF" w:rsidR="00792D2F" w:rsidRDefault="00792D2F" w:rsidP="00792D2F">
      <w:pPr>
        <w:pStyle w:val="LGTdoc1"/>
        <w:snapToGrid/>
        <w:spacing w:beforeLines="0" w:before="100" w:beforeAutospacing="1" w:line="360" w:lineRule="auto"/>
        <w:contextualSpacing/>
        <w:rPr>
          <w:sz w:val="22"/>
          <w:lang w:val="en-US"/>
        </w:rPr>
      </w:pPr>
      <w:r w:rsidRPr="007E53EF">
        <w:rPr>
          <w:sz w:val="22"/>
          <w:lang w:val="en-US"/>
        </w:rPr>
        <w:t>Proposal #</w:t>
      </w:r>
      <w:r w:rsidR="003A4B70">
        <w:rPr>
          <w:sz w:val="22"/>
          <w:lang w:val="en-US"/>
        </w:rPr>
        <w:t>11</w:t>
      </w:r>
      <w:r w:rsidRPr="007E53EF">
        <w:rPr>
          <w:sz w:val="22"/>
          <w:lang w:val="en-US"/>
        </w:rPr>
        <w:t xml:space="preserve">. </w:t>
      </w:r>
      <w:r w:rsidR="006A5E0C" w:rsidRPr="007E53EF">
        <w:rPr>
          <w:sz w:val="22"/>
          <w:lang w:val="en-US"/>
        </w:rPr>
        <w:t>TCI indication signaling</w:t>
      </w:r>
      <w:r w:rsidR="009A4390" w:rsidRPr="007E53EF">
        <w:rPr>
          <w:sz w:val="22"/>
          <w:lang w:val="en-US"/>
        </w:rPr>
        <w:t xml:space="preserve"> and SRS resource set indication (or BWP switching command)</w:t>
      </w:r>
      <w:r w:rsidR="006A5E0C" w:rsidRPr="007E53EF">
        <w:rPr>
          <w:sz w:val="22"/>
          <w:lang w:val="en-US"/>
        </w:rPr>
        <w:t xml:space="preserve"> can be </w:t>
      </w:r>
      <w:r w:rsidR="00EB14B5" w:rsidRPr="007E53EF">
        <w:rPr>
          <w:sz w:val="22"/>
          <w:lang w:val="en-US"/>
        </w:rPr>
        <w:t>re</w:t>
      </w:r>
      <w:r w:rsidR="006A5E0C" w:rsidRPr="007E53EF">
        <w:rPr>
          <w:sz w:val="22"/>
          <w:lang w:val="en-US"/>
        </w:rPr>
        <w:t>used</w:t>
      </w:r>
      <w:r w:rsidR="006A5E0C">
        <w:rPr>
          <w:sz w:val="22"/>
          <w:lang w:val="en-US"/>
        </w:rPr>
        <w:t xml:space="preserve"> as </w:t>
      </w:r>
      <w:r w:rsidR="009A4390">
        <w:rPr>
          <w:sz w:val="22"/>
          <w:lang w:val="en-US"/>
        </w:rPr>
        <w:t xml:space="preserve">the </w:t>
      </w:r>
      <w:r w:rsidR="009A4390" w:rsidRPr="00792D2F">
        <w:rPr>
          <w:sz w:val="22"/>
          <w:lang w:val="en-US"/>
        </w:rPr>
        <w:t>acknowledgement to the reported correspondence from NW to UE</w:t>
      </w:r>
      <w:r w:rsidR="009A4390">
        <w:rPr>
          <w:sz w:val="22"/>
          <w:lang w:val="en-US"/>
        </w:rPr>
        <w:t>.</w:t>
      </w:r>
    </w:p>
    <w:p w14:paraId="70192679" w14:textId="440785E9" w:rsidR="009A4390" w:rsidRDefault="009A4390" w:rsidP="00622D5B">
      <w:pPr>
        <w:pStyle w:val="LGTdoc1"/>
        <w:numPr>
          <w:ilvl w:val="0"/>
          <w:numId w:val="2"/>
        </w:numPr>
        <w:snapToGrid/>
        <w:spacing w:beforeLines="0" w:before="100" w:beforeAutospacing="1" w:line="360" w:lineRule="auto"/>
        <w:contextualSpacing/>
        <w:rPr>
          <w:sz w:val="22"/>
          <w:lang w:val="en-US"/>
        </w:rPr>
      </w:pPr>
      <w:r>
        <w:rPr>
          <w:sz w:val="22"/>
          <w:lang w:val="en-US"/>
        </w:rPr>
        <w:t xml:space="preserve">Further clarify </w:t>
      </w:r>
      <w:r w:rsidR="003101CD">
        <w:rPr>
          <w:sz w:val="22"/>
          <w:lang w:val="en-US"/>
        </w:rPr>
        <w:t xml:space="preserve">that </w:t>
      </w:r>
      <w:r w:rsidR="00321668" w:rsidRPr="00321668">
        <w:rPr>
          <w:sz w:val="22"/>
          <w:lang w:val="en-US"/>
        </w:rPr>
        <w:t>which UE capability value set index is to be activated when UE reported multiple UE capability value set indices for multiple CRIs/SSBRIs</w:t>
      </w:r>
    </w:p>
    <w:p w14:paraId="31C377E9" w14:textId="77777777" w:rsidR="00B641FA" w:rsidRPr="009A4390" w:rsidRDefault="00B641FA" w:rsidP="005A7654">
      <w:pPr>
        <w:pStyle w:val="LGTdoc1"/>
        <w:snapToGrid/>
        <w:spacing w:beforeLines="0" w:before="100" w:beforeAutospacing="1" w:line="360" w:lineRule="auto"/>
        <w:contextualSpacing/>
        <w:rPr>
          <w:b w:val="0"/>
          <w:sz w:val="22"/>
          <w:lang w:val="en-US"/>
        </w:rPr>
      </w:pPr>
    </w:p>
    <w:p w14:paraId="44AEE152" w14:textId="67A27187" w:rsidR="005A7654" w:rsidRPr="00431422" w:rsidRDefault="005A7654" w:rsidP="005A7654">
      <w:pPr>
        <w:pStyle w:val="LGTdoc1"/>
        <w:snapToGrid/>
        <w:spacing w:beforeLines="0" w:before="100" w:beforeAutospacing="1" w:line="360" w:lineRule="auto"/>
        <w:contextualSpacing/>
        <w:rPr>
          <w:sz w:val="22"/>
          <w:lang w:val="en-US"/>
        </w:rPr>
      </w:pPr>
      <w:r w:rsidRPr="00431422">
        <w:rPr>
          <w:sz w:val="22"/>
          <w:lang w:val="en-US"/>
        </w:rPr>
        <w:t>Issue</w:t>
      </w:r>
      <w:r w:rsidR="00576448">
        <w:rPr>
          <w:sz w:val="22"/>
          <w:lang w:val="en-US"/>
        </w:rPr>
        <w:t xml:space="preserve"> </w:t>
      </w:r>
      <w:r w:rsidR="003101CD">
        <w:rPr>
          <w:sz w:val="22"/>
          <w:lang w:val="en-US"/>
        </w:rPr>
        <w:t>4</w:t>
      </w:r>
      <w:r w:rsidR="00576448">
        <w:rPr>
          <w:sz w:val="22"/>
          <w:lang w:val="en-US"/>
        </w:rPr>
        <w:t>-4</w:t>
      </w:r>
      <w:r w:rsidRPr="00431422">
        <w:rPr>
          <w:sz w:val="22"/>
          <w:lang w:val="en-US"/>
        </w:rPr>
        <w:t xml:space="preserve">: </w:t>
      </w:r>
      <w:r>
        <w:rPr>
          <w:sz w:val="22"/>
          <w:lang w:val="en-US"/>
        </w:rPr>
        <w:t>whether/how to support DL only panel</w:t>
      </w:r>
      <w:r w:rsidR="006F5E7A">
        <w:rPr>
          <w:sz w:val="22"/>
          <w:lang w:val="en-US"/>
        </w:rPr>
        <w:t xml:space="preserve"> </w:t>
      </w:r>
    </w:p>
    <w:p w14:paraId="69DF2D8B" w14:textId="5280D274" w:rsidR="00431422" w:rsidRDefault="005A7654" w:rsidP="00361691">
      <w:pPr>
        <w:pStyle w:val="LGTdoc1"/>
        <w:snapToGrid/>
        <w:spacing w:beforeLines="0" w:before="100" w:beforeAutospacing="1" w:line="360" w:lineRule="auto"/>
        <w:ind w:firstLineChars="146" w:firstLine="321"/>
        <w:contextualSpacing/>
        <w:rPr>
          <w:b w:val="0"/>
          <w:sz w:val="22"/>
          <w:lang w:val="en-US"/>
        </w:rPr>
      </w:pPr>
      <w:r>
        <w:rPr>
          <w:rFonts w:hint="eastAsia"/>
          <w:b w:val="0"/>
          <w:sz w:val="22"/>
          <w:lang w:val="en-US"/>
        </w:rPr>
        <w:t xml:space="preserve">In </w:t>
      </w:r>
      <w:r w:rsidRPr="00A762CD">
        <w:rPr>
          <w:b w:val="0"/>
          <w:sz w:val="22"/>
          <w:lang w:val="en-US"/>
        </w:rPr>
        <w:t>RAN1#10</w:t>
      </w:r>
      <w:r>
        <w:rPr>
          <w:b w:val="0"/>
          <w:sz w:val="22"/>
          <w:lang w:val="en-US"/>
        </w:rPr>
        <w:t>7</w:t>
      </w:r>
      <w:r w:rsidRPr="00A762CD">
        <w:rPr>
          <w:b w:val="0"/>
          <w:sz w:val="22"/>
          <w:lang w:val="en-US"/>
        </w:rPr>
        <w:t>-e</w:t>
      </w:r>
      <w:r>
        <w:rPr>
          <w:rFonts w:hint="eastAsia"/>
          <w:b w:val="0"/>
          <w:sz w:val="22"/>
          <w:lang w:val="en-US"/>
        </w:rPr>
        <w:t xml:space="preserve">, there were some discussion on whether/how </w:t>
      </w:r>
      <w:r>
        <w:rPr>
          <w:b w:val="0"/>
          <w:sz w:val="22"/>
          <w:lang w:val="en-US"/>
        </w:rPr>
        <w:t>to support DL only panel</w:t>
      </w:r>
      <w:r w:rsidR="006F5E7A">
        <w:rPr>
          <w:b w:val="0"/>
          <w:sz w:val="22"/>
          <w:lang w:val="en-US"/>
        </w:rPr>
        <w:t>s</w:t>
      </w:r>
      <w:r>
        <w:rPr>
          <w:b w:val="0"/>
          <w:sz w:val="22"/>
          <w:lang w:val="en-US"/>
        </w:rPr>
        <w:t xml:space="preserve"> with the agreed mechanism. </w:t>
      </w:r>
      <w:r w:rsidR="006F5E7A">
        <w:rPr>
          <w:b w:val="0"/>
          <w:sz w:val="22"/>
          <w:lang w:val="en-US"/>
        </w:rPr>
        <w:t>This issue is related to whether to use the agreed mechanism only for UL purpose or for both DL and UL</w:t>
      </w:r>
      <w:r w:rsidR="003101CD">
        <w:rPr>
          <w:b w:val="0"/>
          <w:sz w:val="22"/>
          <w:lang w:val="en-US"/>
        </w:rPr>
        <w:t xml:space="preserve"> purposes</w:t>
      </w:r>
      <w:r w:rsidR="006F5E7A">
        <w:rPr>
          <w:b w:val="0"/>
          <w:sz w:val="22"/>
          <w:lang w:val="en-US"/>
        </w:rPr>
        <w:t xml:space="preserve">. </w:t>
      </w:r>
      <w:r w:rsidR="003101CD">
        <w:rPr>
          <w:b w:val="0"/>
          <w:sz w:val="22"/>
          <w:lang w:val="en-US"/>
        </w:rPr>
        <w:t xml:space="preserve">In the latter case, the agreed reporting mechanism can be used for DL TCI determination as </w:t>
      </w:r>
      <w:r w:rsidR="00971C94">
        <w:rPr>
          <w:b w:val="0"/>
          <w:sz w:val="22"/>
          <w:lang w:val="en-US"/>
        </w:rPr>
        <w:t>well as for UL TCI/port determination</w:t>
      </w:r>
      <w:r w:rsidR="003101CD">
        <w:rPr>
          <w:b w:val="0"/>
          <w:sz w:val="22"/>
          <w:lang w:val="en-US"/>
        </w:rPr>
        <w:t xml:space="preserve">, especially for separate DL/UL TCI indication. In other words, NW does not need to configure two different beam reporting, one for DL </w:t>
      </w:r>
      <w:r w:rsidR="008256C4">
        <w:rPr>
          <w:b w:val="0"/>
          <w:sz w:val="22"/>
          <w:lang w:val="en-US"/>
        </w:rPr>
        <w:lastRenderedPageBreak/>
        <w:t xml:space="preserve">TCI determination </w:t>
      </w:r>
      <w:r w:rsidR="003101CD">
        <w:rPr>
          <w:b w:val="0"/>
          <w:sz w:val="22"/>
          <w:lang w:val="en-US"/>
        </w:rPr>
        <w:t xml:space="preserve">(based on Rel-15/16 beam reporting) and one for UL </w:t>
      </w:r>
      <w:r w:rsidR="008256C4">
        <w:rPr>
          <w:b w:val="0"/>
          <w:sz w:val="22"/>
          <w:lang w:val="en-US"/>
        </w:rPr>
        <w:t xml:space="preserve">TCI determination </w:t>
      </w:r>
      <w:r w:rsidR="003101CD">
        <w:rPr>
          <w:b w:val="0"/>
          <w:sz w:val="22"/>
          <w:lang w:val="en-US"/>
        </w:rPr>
        <w:t>(b</w:t>
      </w:r>
      <w:r w:rsidR="00BB6C36">
        <w:rPr>
          <w:b w:val="0"/>
          <w:sz w:val="22"/>
          <w:lang w:val="en-US"/>
        </w:rPr>
        <w:t>ased on Rel-17 beam reporting), e.g. for a UE having DL only panel.</w:t>
      </w:r>
    </w:p>
    <w:p w14:paraId="203727D8" w14:textId="77777777" w:rsidR="003101CD" w:rsidRPr="008256C4" w:rsidRDefault="003101CD" w:rsidP="00431422">
      <w:pPr>
        <w:pStyle w:val="LGTdoc1"/>
        <w:snapToGrid/>
        <w:spacing w:beforeLines="0" w:before="100" w:beforeAutospacing="1" w:line="360" w:lineRule="auto"/>
        <w:contextualSpacing/>
        <w:rPr>
          <w:b w:val="0"/>
          <w:sz w:val="22"/>
          <w:lang w:val="en-US"/>
        </w:rPr>
      </w:pPr>
    </w:p>
    <w:p w14:paraId="0BBA008C" w14:textId="2AC93D14" w:rsidR="003101CD" w:rsidRPr="00BB6C36" w:rsidRDefault="003101CD" w:rsidP="00431422">
      <w:pPr>
        <w:pStyle w:val="LGTdoc1"/>
        <w:snapToGrid/>
        <w:spacing w:beforeLines="0" w:before="100" w:beforeAutospacing="1" w:line="360" w:lineRule="auto"/>
        <w:contextualSpacing/>
        <w:rPr>
          <w:sz w:val="22"/>
          <w:lang w:val="en-US"/>
        </w:rPr>
      </w:pPr>
      <w:r w:rsidRPr="007E53EF">
        <w:rPr>
          <w:sz w:val="22"/>
          <w:lang w:val="en-US"/>
        </w:rPr>
        <w:t>Observation</w:t>
      </w:r>
      <w:r w:rsidR="00BB6C36" w:rsidRPr="007E53EF">
        <w:rPr>
          <w:sz w:val="22"/>
          <w:lang w:val="en-US"/>
        </w:rPr>
        <w:t xml:space="preserve"> </w:t>
      </w:r>
      <w:r w:rsidRPr="007E53EF">
        <w:rPr>
          <w:sz w:val="22"/>
          <w:lang w:val="en-US"/>
        </w:rPr>
        <w:t>#</w:t>
      </w:r>
      <w:r w:rsidR="003A4B70">
        <w:rPr>
          <w:sz w:val="22"/>
          <w:lang w:val="en-US"/>
        </w:rPr>
        <w:t>2</w:t>
      </w:r>
      <w:r w:rsidRPr="007E53EF">
        <w:rPr>
          <w:sz w:val="22"/>
          <w:lang w:val="en-US"/>
        </w:rPr>
        <w:t>: If the agreed</w:t>
      </w:r>
      <w:r w:rsidRPr="00BB6C36">
        <w:rPr>
          <w:sz w:val="22"/>
          <w:lang w:val="en-US"/>
        </w:rPr>
        <w:t xml:space="preserve"> reporting is used for UL purpose</w:t>
      </w:r>
      <w:r w:rsidR="008256C4">
        <w:rPr>
          <w:sz w:val="22"/>
          <w:lang w:val="en-US"/>
        </w:rPr>
        <w:t xml:space="preserve"> only</w:t>
      </w:r>
      <w:r w:rsidRPr="00BB6C36">
        <w:rPr>
          <w:sz w:val="22"/>
          <w:lang w:val="en-US"/>
        </w:rPr>
        <w:t xml:space="preserve">, additional reporting is </w:t>
      </w:r>
      <w:r w:rsidR="009F41F7">
        <w:rPr>
          <w:sz w:val="22"/>
          <w:lang w:val="en-US"/>
        </w:rPr>
        <w:t>requir</w:t>
      </w:r>
      <w:r w:rsidRPr="00BB6C36">
        <w:rPr>
          <w:sz w:val="22"/>
          <w:lang w:val="en-US"/>
        </w:rPr>
        <w:t xml:space="preserve">ed for DL </w:t>
      </w:r>
      <w:r w:rsidR="008256C4">
        <w:rPr>
          <w:sz w:val="22"/>
          <w:lang w:val="en-US"/>
        </w:rPr>
        <w:t xml:space="preserve">TCI determination, e.g. </w:t>
      </w:r>
      <w:r w:rsidRPr="00BB6C36">
        <w:rPr>
          <w:sz w:val="22"/>
          <w:lang w:val="en-US"/>
        </w:rPr>
        <w:t>based on Rel-15/16 beam reporting</w:t>
      </w:r>
      <w:r w:rsidR="008256C4">
        <w:rPr>
          <w:sz w:val="22"/>
          <w:lang w:val="en-US"/>
        </w:rPr>
        <w:t>, causing extra signaling overhead</w:t>
      </w:r>
      <w:r w:rsidRPr="00BB6C36">
        <w:rPr>
          <w:sz w:val="22"/>
          <w:lang w:val="en-US"/>
        </w:rPr>
        <w:t xml:space="preserve">. </w:t>
      </w:r>
    </w:p>
    <w:p w14:paraId="31E30ED4" w14:textId="77777777" w:rsidR="00431422" w:rsidRPr="008256C4" w:rsidRDefault="00431422" w:rsidP="00431422">
      <w:pPr>
        <w:pStyle w:val="LGTdoc1"/>
        <w:snapToGrid/>
        <w:spacing w:beforeLines="0" w:before="100" w:beforeAutospacing="1" w:line="360" w:lineRule="auto"/>
        <w:contextualSpacing/>
        <w:rPr>
          <w:b w:val="0"/>
          <w:sz w:val="22"/>
          <w:lang w:val="en-US"/>
        </w:rPr>
      </w:pPr>
    </w:p>
    <w:p w14:paraId="6EBCB2FB" w14:textId="33888F21" w:rsidR="00431422" w:rsidRDefault="00BB6C36" w:rsidP="00361691">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Based on the above observation, we propose to use the agreed mechanism for both UL and DL purposes. This </w:t>
      </w:r>
      <w:r w:rsidR="009F41F7">
        <w:rPr>
          <w:b w:val="0"/>
          <w:sz w:val="22"/>
          <w:lang w:val="en-US"/>
        </w:rPr>
        <w:t xml:space="preserve">can </w:t>
      </w:r>
      <w:r w:rsidR="008256C4">
        <w:rPr>
          <w:b w:val="0"/>
          <w:sz w:val="22"/>
          <w:lang w:val="en-US"/>
        </w:rPr>
        <w:t xml:space="preserve">simply </w:t>
      </w:r>
      <w:r w:rsidR="009F41F7">
        <w:rPr>
          <w:b w:val="0"/>
          <w:sz w:val="22"/>
          <w:lang w:val="en-US"/>
        </w:rPr>
        <w:t>be achieved by assigning UE capability value set index(es) for DL panel(s).</w:t>
      </w:r>
      <w:r>
        <w:rPr>
          <w:b w:val="0"/>
          <w:sz w:val="22"/>
          <w:lang w:val="en-US"/>
        </w:rPr>
        <w:t xml:space="preserve"> For example, if a UE has three panels</w:t>
      </w:r>
      <w:r w:rsidR="009F41F7">
        <w:rPr>
          <w:b w:val="0"/>
          <w:sz w:val="22"/>
          <w:lang w:val="en-US"/>
        </w:rPr>
        <w:t xml:space="preserve"> with three indices</w:t>
      </w:r>
      <w:r>
        <w:rPr>
          <w:b w:val="0"/>
          <w:sz w:val="22"/>
          <w:lang w:val="en-US"/>
        </w:rPr>
        <w:t>, one for DL only (index=0), one for DL+UL with 2 ports (index=1), and one for DL+UL with 4 ports (index=2), U</w:t>
      </w:r>
      <w:r w:rsidR="009F41F7">
        <w:rPr>
          <w:b w:val="0"/>
          <w:sz w:val="22"/>
          <w:lang w:val="en-US"/>
        </w:rPr>
        <w:t>E may choose and report CRI#x with index=0 and CRI#y with index=2. With this reporting</w:t>
      </w:r>
      <w:r w:rsidR="00971C94">
        <w:rPr>
          <w:b w:val="0"/>
          <w:sz w:val="22"/>
          <w:lang w:val="en-US"/>
        </w:rPr>
        <w:t xml:space="preserve"> information</w:t>
      </w:r>
      <w:r w:rsidR="009F41F7">
        <w:rPr>
          <w:b w:val="0"/>
          <w:sz w:val="22"/>
          <w:lang w:val="en-US"/>
        </w:rPr>
        <w:t>, NW may use CRI#x for DL TCI and CRI#y for UL TCI for the UE</w:t>
      </w:r>
      <w:r w:rsidR="00412DA9">
        <w:rPr>
          <w:b w:val="0"/>
          <w:sz w:val="22"/>
          <w:lang w:val="en-US"/>
        </w:rPr>
        <w:t xml:space="preserve"> since NW knows that CRI#x is invalid for UL</w:t>
      </w:r>
      <w:r w:rsidR="009F41F7">
        <w:rPr>
          <w:b w:val="0"/>
          <w:sz w:val="22"/>
          <w:lang w:val="en-US"/>
        </w:rPr>
        <w:t xml:space="preserve">. </w:t>
      </w:r>
      <w:r w:rsidR="00BC6117">
        <w:rPr>
          <w:b w:val="0"/>
          <w:sz w:val="22"/>
          <w:lang w:val="en-US"/>
        </w:rPr>
        <w:t>For this issue, we should avoid to define a reserved code-point for UE capability value set index field in UCI since it may create extra UCI payload for UEs having no DL only panel. Rather, it is clearer for UE to report whether to have DL only panel or not as a UE capability</w:t>
      </w:r>
      <w:r w:rsidR="008256C4">
        <w:rPr>
          <w:b w:val="0"/>
          <w:sz w:val="22"/>
          <w:lang w:val="en-US"/>
        </w:rPr>
        <w:t xml:space="preserve"> </w:t>
      </w:r>
      <w:r w:rsidR="00412DA9">
        <w:rPr>
          <w:b w:val="0"/>
          <w:sz w:val="22"/>
          <w:lang w:val="en-US"/>
        </w:rPr>
        <w:t xml:space="preserve">in order </w:t>
      </w:r>
      <w:r w:rsidR="008256C4">
        <w:rPr>
          <w:b w:val="0"/>
          <w:sz w:val="22"/>
          <w:lang w:val="en-US"/>
        </w:rPr>
        <w:t>to</w:t>
      </w:r>
      <w:r w:rsidR="00BC6117">
        <w:rPr>
          <w:b w:val="0"/>
          <w:sz w:val="22"/>
          <w:lang w:val="en-US"/>
        </w:rPr>
        <w:t xml:space="preserve"> assign an index for the DL only panel(s) </w:t>
      </w:r>
      <w:r w:rsidR="008256C4">
        <w:rPr>
          <w:b w:val="0"/>
          <w:sz w:val="22"/>
          <w:lang w:val="en-US"/>
        </w:rPr>
        <w:t>if the UE has any</w:t>
      </w:r>
      <w:r w:rsidR="00BC6117">
        <w:rPr>
          <w:b w:val="0"/>
          <w:sz w:val="22"/>
          <w:lang w:val="en-US"/>
        </w:rPr>
        <w:t>. This can simply</w:t>
      </w:r>
      <w:r w:rsidR="00412DA9">
        <w:rPr>
          <w:b w:val="0"/>
          <w:sz w:val="22"/>
          <w:lang w:val="en-US"/>
        </w:rPr>
        <w:t xml:space="preserve"> be</w:t>
      </w:r>
      <w:r w:rsidR="00BC6117">
        <w:rPr>
          <w:b w:val="0"/>
          <w:sz w:val="22"/>
          <w:lang w:val="en-US"/>
        </w:rPr>
        <w:t xml:space="preserve"> achieved by defining ‘max number of SRS ports=0’ for DL only panel(s) as several companies proposed </w:t>
      </w:r>
      <w:r w:rsidR="008256C4">
        <w:rPr>
          <w:b w:val="0"/>
          <w:sz w:val="22"/>
          <w:lang w:val="en-US"/>
        </w:rPr>
        <w:t>during</w:t>
      </w:r>
      <w:r w:rsidR="00BC6117">
        <w:rPr>
          <w:b w:val="0"/>
          <w:sz w:val="22"/>
          <w:lang w:val="en-US"/>
        </w:rPr>
        <w:t xml:space="preserve"> RAN1#107bis-e meeting </w:t>
      </w:r>
      <w:r w:rsidR="008256C4">
        <w:rPr>
          <w:b w:val="0"/>
          <w:sz w:val="22"/>
          <w:lang w:val="en-US"/>
        </w:rPr>
        <w:t>for UE feature discussion, which can</w:t>
      </w:r>
      <w:r w:rsidR="00BC6117">
        <w:rPr>
          <w:b w:val="0"/>
          <w:sz w:val="22"/>
          <w:lang w:val="en-US"/>
        </w:rPr>
        <w:t xml:space="preserve"> minimize </w:t>
      </w:r>
      <w:r w:rsidR="008256C4">
        <w:rPr>
          <w:b w:val="0"/>
          <w:sz w:val="22"/>
          <w:lang w:val="en-US"/>
        </w:rPr>
        <w:t xml:space="preserve">spec </w:t>
      </w:r>
      <w:r w:rsidR="00BC6117">
        <w:rPr>
          <w:b w:val="0"/>
          <w:sz w:val="22"/>
          <w:lang w:val="en-US"/>
        </w:rPr>
        <w:t xml:space="preserve">impact (i.e. adding </w:t>
      </w:r>
      <w:r w:rsidR="008256C4">
        <w:rPr>
          <w:b w:val="0"/>
          <w:sz w:val="22"/>
          <w:lang w:val="en-US"/>
        </w:rPr>
        <w:t>one</w:t>
      </w:r>
      <w:r w:rsidR="00BC6117">
        <w:rPr>
          <w:b w:val="0"/>
          <w:sz w:val="22"/>
          <w:lang w:val="en-US"/>
        </w:rPr>
        <w:t xml:space="preserve"> candidate value for UE capability value set).</w:t>
      </w:r>
    </w:p>
    <w:p w14:paraId="6ECA4083" w14:textId="77777777" w:rsidR="00220EF4" w:rsidRPr="008256C4" w:rsidRDefault="00220EF4" w:rsidP="00431422">
      <w:pPr>
        <w:pStyle w:val="LGTdoc1"/>
        <w:snapToGrid/>
        <w:spacing w:beforeLines="0" w:before="100" w:beforeAutospacing="1" w:line="360" w:lineRule="auto"/>
        <w:contextualSpacing/>
        <w:rPr>
          <w:b w:val="0"/>
          <w:sz w:val="22"/>
          <w:lang w:val="en-US"/>
        </w:rPr>
      </w:pPr>
    </w:p>
    <w:p w14:paraId="7D184EEE" w14:textId="72739FA4" w:rsidR="00220EF4" w:rsidRPr="00BB6C36" w:rsidRDefault="00220EF4" w:rsidP="00220EF4">
      <w:pPr>
        <w:pStyle w:val="LGTdoc1"/>
        <w:snapToGrid/>
        <w:spacing w:beforeLines="0" w:before="100" w:beforeAutospacing="1" w:line="360" w:lineRule="auto"/>
        <w:contextualSpacing/>
        <w:rPr>
          <w:sz w:val="22"/>
          <w:lang w:val="en-US"/>
        </w:rPr>
      </w:pPr>
      <w:r w:rsidRPr="007E53EF">
        <w:rPr>
          <w:sz w:val="22"/>
          <w:lang w:val="en-US"/>
        </w:rPr>
        <w:t>Propose #</w:t>
      </w:r>
      <w:r w:rsidR="003A4B70">
        <w:rPr>
          <w:sz w:val="22"/>
          <w:lang w:val="en-US"/>
        </w:rPr>
        <w:t>12</w:t>
      </w:r>
      <w:r w:rsidRPr="007E53EF">
        <w:rPr>
          <w:sz w:val="22"/>
          <w:lang w:val="en-US"/>
        </w:rPr>
        <w:t>: Support</w:t>
      </w:r>
      <w:r>
        <w:rPr>
          <w:sz w:val="22"/>
          <w:lang w:val="en-US"/>
        </w:rPr>
        <w:t xml:space="preserve"> a candidate value of 0 for the max supported number of SRS ports</w:t>
      </w:r>
      <w:r w:rsidR="00BC6117">
        <w:rPr>
          <w:sz w:val="22"/>
          <w:lang w:val="en-US"/>
        </w:rPr>
        <w:t xml:space="preserve"> </w:t>
      </w:r>
      <w:r w:rsidR="008256C4">
        <w:rPr>
          <w:sz w:val="22"/>
          <w:lang w:val="en-US"/>
        </w:rPr>
        <w:t>in</w:t>
      </w:r>
      <w:r w:rsidR="00BC6117">
        <w:rPr>
          <w:sz w:val="22"/>
          <w:lang w:val="en-US"/>
        </w:rPr>
        <w:t xml:space="preserve"> UE capability value set </w:t>
      </w:r>
      <w:r w:rsidR="008256C4">
        <w:rPr>
          <w:sz w:val="22"/>
          <w:lang w:val="en-US"/>
        </w:rPr>
        <w:t xml:space="preserve">for UE to indicate that it has DL only panel(s) or not. </w:t>
      </w:r>
    </w:p>
    <w:p w14:paraId="301F0AA9" w14:textId="77777777" w:rsidR="00D2286C" w:rsidRDefault="00D2286C" w:rsidP="008256C4">
      <w:pPr>
        <w:pStyle w:val="LGTdoc1"/>
        <w:snapToGrid/>
        <w:spacing w:beforeLines="0" w:before="100" w:beforeAutospacing="1" w:line="360" w:lineRule="auto"/>
        <w:contextualSpacing/>
        <w:rPr>
          <w:b w:val="0"/>
          <w:sz w:val="22"/>
          <w:lang w:val="en-US"/>
        </w:rPr>
      </w:pPr>
    </w:p>
    <w:p w14:paraId="59FC3BE8" w14:textId="68536DAB" w:rsidR="00827808" w:rsidRPr="009B64C8" w:rsidRDefault="00576448" w:rsidP="009B64C8">
      <w:pPr>
        <w:pStyle w:val="1"/>
        <w:numPr>
          <w:ilvl w:val="1"/>
          <w:numId w:val="1"/>
        </w:numPr>
        <w:tabs>
          <w:tab w:val="left" w:pos="851"/>
        </w:tabs>
        <w:ind w:left="609"/>
      </w:pPr>
      <w:r>
        <w:t xml:space="preserve">[Issue 5] </w:t>
      </w:r>
      <w:r w:rsidR="00827808">
        <w:t>MPE mitigation</w:t>
      </w:r>
    </w:p>
    <w:p w14:paraId="352D6D5A" w14:textId="45EE1E84" w:rsidR="00A04DCC" w:rsidRDefault="00A04DCC" w:rsidP="00361691">
      <w:pPr>
        <w:pStyle w:val="LGTdoc1"/>
        <w:snapToGrid/>
        <w:spacing w:beforeLines="0" w:before="100" w:beforeAutospacing="1" w:line="360" w:lineRule="auto"/>
        <w:ind w:firstLineChars="146" w:firstLine="321"/>
        <w:contextualSpacing/>
        <w:rPr>
          <w:b w:val="0"/>
          <w:sz w:val="22"/>
          <w:lang w:val="en-US"/>
        </w:rPr>
      </w:pPr>
      <w:r>
        <w:rPr>
          <w:rFonts w:hint="eastAsia"/>
          <w:b w:val="0"/>
          <w:sz w:val="22"/>
          <w:lang w:val="en-US"/>
        </w:rPr>
        <w:t xml:space="preserve">For the enhanced MPE reporting, RAN2 </w:t>
      </w:r>
      <w:r>
        <w:rPr>
          <w:b w:val="0"/>
          <w:sz w:val="22"/>
          <w:lang w:val="en-US"/>
        </w:rPr>
        <w:t>questioned about P</w:t>
      </w:r>
      <w:r w:rsidR="0032063A">
        <w:rPr>
          <w:b w:val="0"/>
          <w:sz w:val="22"/>
          <w:lang w:val="en-US"/>
        </w:rPr>
        <w:t>c_max</w:t>
      </w:r>
      <w:r>
        <w:rPr>
          <w:b w:val="0"/>
          <w:sz w:val="22"/>
          <w:lang w:val="en-US"/>
        </w:rPr>
        <w:t xml:space="preserve"> reporting in R1-2200887 as captured below</w:t>
      </w:r>
      <w:r w:rsidR="0032063A">
        <w:rPr>
          <w:b w:val="0"/>
          <w:sz w:val="22"/>
          <w:lang w:val="en-US"/>
        </w:rPr>
        <w:t>, where this issue has not been deeply investigated in RAN1 so far</w:t>
      </w:r>
      <w:r>
        <w:rPr>
          <w:b w:val="0"/>
          <w:sz w:val="22"/>
          <w:lang w:val="en-US"/>
        </w:rPr>
        <w:t>:</w:t>
      </w:r>
    </w:p>
    <w:tbl>
      <w:tblPr>
        <w:tblStyle w:val="a7"/>
        <w:tblW w:w="0" w:type="auto"/>
        <w:tblLook w:val="04A0" w:firstRow="1" w:lastRow="0" w:firstColumn="1" w:lastColumn="0" w:noHBand="0" w:noVBand="1"/>
      </w:tblPr>
      <w:tblGrid>
        <w:gridCol w:w="9016"/>
      </w:tblGrid>
      <w:tr w:rsidR="00A04DCC" w14:paraId="22201353" w14:textId="77777777" w:rsidTr="00A04DCC">
        <w:tc>
          <w:tcPr>
            <w:tcW w:w="9016" w:type="dxa"/>
          </w:tcPr>
          <w:p w14:paraId="39D100FF" w14:textId="58A54682" w:rsidR="00A04DCC" w:rsidRPr="00381F58" w:rsidRDefault="00A04DCC" w:rsidP="00381F58">
            <w:pPr>
              <w:spacing w:after="120"/>
              <w:ind w:left="720"/>
              <w:rPr>
                <w:rFonts w:ascii="Arial" w:hAnsi="Arial" w:cs="Arial"/>
                <w:b/>
              </w:rPr>
            </w:pPr>
            <w:r w:rsidRPr="001676C8">
              <w:rPr>
                <w:rFonts w:ascii="Arial" w:hAnsi="Arial" w:cs="Arial"/>
                <w:b/>
                <w:bCs/>
              </w:rPr>
              <w:t>Question 1.10:</w:t>
            </w:r>
            <w:r>
              <w:rPr>
                <w:rFonts w:ascii="Arial" w:hAnsi="Arial" w:cs="Arial"/>
              </w:rPr>
              <w:t xml:space="preserve"> </w:t>
            </w:r>
            <w:r w:rsidRPr="00061EE8">
              <w:rPr>
                <w:rFonts w:ascii="Arial" w:hAnsi="Arial" w:cs="Arial"/>
              </w:rPr>
              <w:t xml:space="preserve">Is </w:t>
            </w:r>
            <w:r>
              <w:rPr>
                <w:rFonts w:ascii="Arial" w:hAnsi="Arial" w:cs="Arial"/>
              </w:rPr>
              <w:t xml:space="preserve">reporting of </w:t>
            </w:r>
            <w:r w:rsidRPr="00061EE8">
              <w:rPr>
                <w:rFonts w:ascii="Arial" w:hAnsi="Arial" w:cs="Arial"/>
              </w:rPr>
              <w:t>PCMax,f,c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tc>
      </w:tr>
    </w:tbl>
    <w:p w14:paraId="4597A5E9" w14:textId="4F5D680F" w:rsidR="007E53EF" w:rsidRDefault="00A04DCC" w:rsidP="00E608A3">
      <w:pPr>
        <w:pStyle w:val="LGTdoc1"/>
        <w:snapToGrid/>
        <w:spacing w:beforeLines="0" w:before="100" w:beforeAutospacing="1" w:line="360" w:lineRule="auto"/>
        <w:contextualSpacing/>
        <w:rPr>
          <w:b w:val="0"/>
          <w:sz w:val="22"/>
          <w:lang w:val="en-US"/>
        </w:rPr>
      </w:pPr>
      <w:r>
        <w:rPr>
          <w:rFonts w:hint="eastAsia"/>
          <w:b w:val="0"/>
          <w:sz w:val="22"/>
          <w:lang w:val="en-US"/>
        </w:rPr>
        <w:t xml:space="preserve">Current PHR MAC CE format includes </w:t>
      </w:r>
      <w:r w:rsidR="0032063A">
        <w:rPr>
          <w:b w:val="0"/>
          <w:sz w:val="22"/>
          <w:lang w:val="en-US"/>
        </w:rPr>
        <w:t>Pc_max</w:t>
      </w:r>
      <w:r>
        <w:rPr>
          <w:b w:val="0"/>
          <w:sz w:val="22"/>
          <w:lang w:val="en-US"/>
        </w:rPr>
        <w:t>, PHR, and P-MPR</w:t>
      </w:r>
      <w:r w:rsidR="00381F58">
        <w:rPr>
          <w:b w:val="0"/>
          <w:sz w:val="22"/>
          <w:lang w:val="en-US"/>
        </w:rPr>
        <w:t xml:space="preserve"> </w:t>
      </w:r>
      <w:r>
        <w:rPr>
          <w:b w:val="0"/>
          <w:sz w:val="22"/>
          <w:lang w:val="en-US"/>
        </w:rPr>
        <w:t>(MPE) as captured below</w:t>
      </w:r>
      <w:r w:rsidR="00381F58">
        <w:rPr>
          <w:b w:val="0"/>
          <w:sz w:val="22"/>
          <w:lang w:val="en-US"/>
        </w:rPr>
        <w:t xml:space="preserve"> in TS38.321</w:t>
      </w:r>
      <w:r>
        <w:rPr>
          <w:b w:val="0"/>
          <w:sz w:val="22"/>
          <w:lang w:val="en-US"/>
        </w:rPr>
        <w:t>:</w:t>
      </w:r>
    </w:p>
    <w:tbl>
      <w:tblPr>
        <w:tblStyle w:val="a7"/>
        <w:tblW w:w="0" w:type="auto"/>
        <w:tblLook w:val="04A0" w:firstRow="1" w:lastRow="0" w:firstColumn="1" w:lastColumn="0" w:noHBand="0" w:noVBand="1"/>
      </w:tblPr>
      <w:tblGrid>
        <w:gridCol w:w="9016"/>
      </w:tblGrid>
      <w:tr w:rsidR="00381F58" w14:paraId="3F813554" w14:textId="77777777" w:rsidTr="00381F58">
        <w:tc>
          <w:tcPr>
            <w:tcW w:w="9016" w:type="dxa"/>
          </w:tcPr>
          <w:p w14:paraId="55B6FEEB" w14:textId="77777777" w:rsidR="00381F58" w:rsidRPr="00381F58" w:rsidRDefault="00381F58" w:rsidP="00381F58">
            <w:pPr>
              <w:keepNext/>
              <w:keepLines/>
              <w:widowControl/>
              <w:wordWrap/>
              <w:overflowPunct w:val="0"/>
              <w:adjustRightInd w:val="0"/>
              <w:spacing w:before="120"/>
              <w:ind w:left="1418" w:hanging="1418"/>
              <w:textAlignment w:val="baseline"/>
              <w:outlineLvl w:val="3"/>
              <w:rPr>
                <w:rFonts w:ascii="Arial" w:eastAsia="Times New Roman" w:hAnsi="Arial"/>
                <w:noProof/>
                <w:sz w:val="24"/>
                <w:lang w:val="en-GB"/>
              </w:rPr>
            </w:pPr>
            <w:bookmarkStart w:id="15" w:name="_Toc29239886"/>
            <w:bookmarkStart w:id="16" w:name="_Toc37296285"/>
            <w:bookmarkStart w:id="17" w:name="_Toc46490416"/>
            <w:bookmarkStart w:id="18" w:name="_Toc52752111"/>
            <w:bookmarkStart w:id="19" w:name="_Toc52796573"/>
            <w:bookmarkStart w:id="20" w:name="_Toc90287285"/>
            <w:r w:rsidRPr="00381F58">
              <w:rPr>
                <w:rFonts w:ascii="Arial" w:eastAsia="Times New Roman" w:hAnsi="Arial"/>
                <w:noProof/>
                <w:sz w:val="24"/>
                <w:lang w:val="en-GB" w:eastAsia="ja-JP"/>
              </w:rPr>
              <w:lastRenderedPageBreak/>
              <w:t>6.1.3.</w:t>
            </w:r>
            <w:r w:rsidRPr="00381F58">
              <w:rPr>
                <w:rFonts w:ascii="Arial" w:eastAsia="Times New Roman" w:hAnsi="Arial"/>
                <w:noProof/>
                <w:sz w:val="24"/>
                <w:lang w:val="en-GB"/>
              </w:rPr>
              <w:t>8</w:t>
            </w:r>
            <w:r w:rsidRPr="00381F58">
              <w:rPr>
                <w:rFonts w:ascii="Arial" w:eastAsia="Times New Roman" w:hAnsi="Arial"/>
                <w:noProof/>
                <w:sz w:val="24"/>
                <w:lang w:val="en-GB" w:eastAsia="ja-JP"/>
              </w:rPr>
              <w:tab/>
            </w:r>
            <w:r w:rsidRPr="00381F58">
              <w:rPr>
                <w:rFonts w:ascii="Arial" w:eastAsia="Times New Roman" w:hAnsi="Arial"/>
                <w:noProof/>
                <w:sz w:val="24"/>
                <w:lang w:val="en-GB"/>
              </w:rPr>
              <w:t>Single Entry PHR</w:t>
            </w:r>
            <w:r w:rsidRPr="00381F58">
              <w:rPr>
                <w:rFonts w:ascii="Arial" w:eastAsia="Times New Roman" w:hAnsi="Arial"/>
                <w:noProof/>
                <w:sz w:val="24"/>
                <w:lang w:val="en-GB" w:eastAsia="ja-JP"/>
              </w:rPr>
              <w:t xml:space="preserve"> MAC CE</w:t>
            </w:r>
            <w:bookmarkEnd w:id="15"/>
            <w:bookmarkEnd w:id="16"/>
            <w:bookmarkEnd w:id="17"/>
            <w:bookmarkEnd w:id="18"/>
            <w:bookmarkEnd w:id="19"/>
            <w:bookmarkEnd w:id="20"/>
          </w:p>
          <w:p w14:paraId="685E5483" w14:textId="77777777" w:rsidR="00381F58" w:rsidRPr="00381F58" w:rsidRDefault="00381F58" w:rsidP="00381F58">
            <w:pPr>
              <w:keepLines/>
              <w:widowControl/>
              <w:wordWrap/>
              <w:overflowPunct w:val="0"/>
              <w:adjustRightInd w:val="0"/>
              <w:textAlignment w:val="baseline"/>
              <w:rPr>
                <w:rFonts w:eastAsia="Times New Roman"/>
                <w:lang w:val="en-GB"/>
              </w:rPr>
            </w:pPr>
            <w:r w:rsidRPr="00381F58">
              <w:rPr>
                <w:rFonts w:eastAsia="Times New Roman"/>
                <w:lang w:val="en-GB" w:eastAsia="ja-JP"/>
              </w:rPr>
              <w:t xml:space="preserve">The </w:t>
            </w:r>
            <w:r w:rsidRPr="00381F58">
              <w:rPr>
                <w:rFonts w:eastAsia="Times New Roman"/>
                <w:lang w:val="en-GB"/>
              </w:rPr>
              <w:t xml:space="preserve">Single Entry PHR MAC CE </w:t>
            </w:r>
            <w:r w:rsidRPr="00381F58">
              <w:rPr>
                <w:rFonts w:eastAsia="Times New Roman"/>
                <w:lang w:val="en-GB" w:eastAsia="ja-JP"/>
              </w:rPr>
              <w:t xml:space="preserve">is identified by a MAC subheader with LCID as specified in </w:t>
            </w:r>
            <w:r w:rsidRPr="00381F58">
              <w:rPr>
                <w:rFonts w:eastAsia="Times New Roman"/>
                <w:lang w:val="en-GB"/>
              </w:rPr>
              <w:t>T</w:t>
            </w:r>
            <w:r w:rsidRPr="00381F58">
              <w:rPr>
                <w:rFonts w:eastAsia="Times New Roman"/>
                <w:lang w:val="en-GB" w:eastAsia="ja-JP"/>
              </w:rPr>
              <w:t>able 6.2.1-</w:t>
            </w:r>
            <w:r w:rsidRPr="00381F58">
              <w:rPr>
                <w:rFonts w:eastAsia="Times New Roman"/>
                <w:lang w:val="en-GB" w:eastAsia="zh-CN"/>
              </w:rPr>
              <w:t>2</w:t>
            </w:r>
            <w:r w:rsidRPr="00381F58">
              <w:rPr>
                <w:rFonts w:eastAsia="Times New Roman"/>
                <w:lang w:val="en-GB" w:eastAsia="ja-JP"/>
              </w:rPr>
              <w:t>.</w:t>
            </w:r>
          </w:p>
          <w:p w14:paraId="05DD08F3" w14:textId="77777777" w:rsidR="00381F58" w:rsidRPr="00381F58" w:rsidRDefault="00381F58" w:rsidP="00381F58">
            <w:pPr>
              <w:keepLines/>
              <w:widowControl/>
              <w:wordWrap/>
              <w:overflowPunct w:val="0"/>
              <w:adjustRightInd w:val="0"/>
              <w:textAlignment w:val="baseline"/>
              <w:rPr>
                <w:rFonts w:eastAsia="Times New Roman"/>
                <w:lang w:val="en-GB"/>
              </w:rPr>
            </w:pPr>
            <w:r w:rsidRPr="00381F58">
              <w:rPr>
                <w:rFonts w:eastAsia="Times New Roman"/>
                <w:lang w:val="en-GB"/>
              </w:rPr>
              <w:t>It has a fixed size and consists of two octets defined as follows (figure 6.1.3.8-1):</w:t>
            </w:r>
          </w:p>
          <w:p w14:paraId="0BAD0036" w14:textId="77777777" w:rsidR="00381F58" w:rsidRPr="00381F58" w:rsidRDefault="00381F58" w:rsidP="00381F58">
            <w:pPr>
              <w:widowControl/>
              <w:wordWrap/>
              <w:overflowPunct w:val="0"/>
              <w:adjustRightInd w:val="0"/>
              <w:ind w:left="568" w:hanging="284"/>
              <w:textAlignment w:val="baseline"/>
              <w:rPr>
                <w:rFonts w:eastAsia="Times New Roman"/>
                <w:noProof/>
                <w:lang w:val="en-GB" w:eastAsia="ja-JP"/>
              </w:rPr>
            </w:pPr>
            <w:r w:rsidRPr="00381F58">
              <w:rPr>
                <w:rFonts w:eastAsia="Times New Roman"/>
                <w:noProof/>
                <w:lang w:val="en-GB" w:eastAsia="ja-JP"/>
              </w:rPr>
              <w:t>-</w:t>
            </w:r>
            <w:r w:rsidRPr="00381F58">
              <w:rPr>
                <w:rFonts w:eastAsia="Times New Roman"/>
                <w:noProof/>
                <w:lang w:val="en-GB" w:eastAsia="ja-JP"/>
              </w:rPr>
              <w:tab/>
              <w:t xml:space="preserve">R: </w:t>
            </w:r>
            <w:r w:rsidRPr="00381F58">
              <w:rPr>
                <w:rFonts w:eastAsia="Times New Roman"/>
                <w:noProof/>
                <w:lang w:val="en-GB"/>
              </w:rPr>
              <w:t>R</w:t>
            </w:r>
            <w:r w:rsidRPr="00381F58">
              <w:rPr>
                <w:rFonts w:eastAsia="Times New Roman"/>
                <w:noProof/>
                <w:lang w:val="en-GB" w:eastAsia="ja-JP"/>
              </w:rPr>
              <w:t>eserved bit, set to 0;</w:t>
            </w:r>
          </w:p>
          <w:p w14:paraId="06EDD85C" w14:textId="77777777" w:rsidR="00381F58" w:rsidRPr="00381F58" w:rsidRDefault="00381F58" w:rsidP="00381F58">
            <w:pPr>
              <w:widowControl/>
              <w:wordWrap/>
              <w:overflowPunct w:val="0"/>
              <w:adjustRightInd w:val="0"/>
              <w:ind w:left="568" w:hanging="284"/>
              <w:textAlignment w:val="baseline"/>
              <w:rPr>
                <w:rFonts w:eastAsia="Times New Roman"/>
                <w:noProof/>
                <w:lang w:val="en-GB"/>
              </w:rPr>
            </w:pPr>
            <w:r w:rsidRPr="00381F58">
              <w:rPr>
                <w:rFonts w:eastAsia="Times New Roman"/>
                <w:noProof/>
                <w:lang w:val="en-GB" w:eastAsia="ja-JP"/>
              </w:rPr>
              <w:t>-</w:t>
            </w:r>
            <w:r w:rsidRPr="00381F58">
              <w:rPr>
                <w:rFonts w:eastAsia="Times New Roman"/>
                <w:noProof/>
                <w:lang w:val="en-GB" w:eastAsia="ja-JP"/>
              </w:rPr>
              <w:tab/>
              <w:t xml:space="preserve">Power Headroom (PH): </w:t>
            </w:r>
            <w:r w:rsidRPr="00381F58">
              <w:rPr>
                <w:rFonts w:eastAsia="Times New Roman"/>
                <w:noProof/>
                <w:lang w:val="en-GB"/>
              </w:rPr>
              <w:t>T</w:t>
            </w:r>
            <w:r w:rsidRPr="00381F58">
              <w:rPr>
                <w:rFonts w:eastAsia="Times New Roman"/>
                <w:noProof/>
                <w:lang w:val="en-GB" w:eastAsia="ja-JP"/>
              </w:rPr>
              <w:t>his field indicates the power headroom level. The length of the field is 6 bits. The reported PH and the corresponding power headroom levels are shown in Table 6.1.3.</w:t>
            </w:r>
            <w:r w:rsidRPr="00381F58">
              <w:rPr>
                <w:rFonts w:eastAsia="Times New Roman"/>
                <w:noProof/>
                <w:lang w:val="en-GB"/>
              </w:rPr>
              <w:t>8</w:t>
            </w:r>
            <w:r w:rsidRPr="00381F58">
              <w:rPr>
                <w:rFonts w:eastAsia="Times New Roman"/>
                <w:noProof/>
                <w:lang w:val="en-GB" w:eastAsia="ja-JP"/>
              </w:rPr>
              <w:t>-1 below (the corresponding measured values in dB are specified in TS 38.133 [11])</w:t>
            </w:r>
            <w:r w:rsidRPr="00381F58">
              <w:rPr>
                <w:rFonts w:eastAsia="Times New Roman"/>
                <w:noProof/>
                <w:lang w:val="en-GB"/>
              </w:rPr>
              <w:t>;</w:t>
            </w:r>
          </w:p>
          <w:p w14:paraId="6D91F27F" w14:textId="77777777" w:rsidR="00381F58" w:rsidRPr="00381F58" w:rsidRDefault="00381F58" w:rsidP="00381F58">
            <w:pPr>
              <w:widowControl/>
              <w:wordWrap/>
              <w:overflowPunct w:val="0"/>
              <w:adjustRightInd w:val="0"/>
              <w:ind w:left="568" w:hanging="284"/>
              <w:textAlignment w:val="baseline"/>
              <w:rPr>
                <w:rFonts w:eastAsia="Times New Roman"/>
                <w:noProof/>
                <w:lang w:val="en-GB"/>
              </w:rPr>
            </w:pPr>
            <w:r w:rsidRPr="00381F58">
              <w:rPr>
                <w:rFonts w:eastAsia="Times New Roman"/>
                <w:lang w:val="en-GB"/>
              </w:rPr>
              <w:t>-</w:t>
            </w:r>
            <w:r w:rsidRPr="00381F58">
              <w:rPr>
                <w:rFonts w:eastAsia="Times New Roman"/>
                <w:lang w:val="en-GB"/>
              </w:rPr>
              <w:tab/>
              <w:t xml:space="preserve">P: </w:t>
            </w:r>
            <w:r w:rsidRPr="00381F58">
              <w:rPr>
                <w:rFonts w:eastAsia="Times New Roman"/>
                <w:noProof/>
                <w:lang w:val="en-GB" w:eastAsia="ja-JP"/>
              </w:rPr>
              <w:t xml:space="preserve">If </w:t>
            </w:r>
            <w:r w:rsidRPr="00381F58">
              <w:rPr>
                <w:rFonts w:eastAsia="Times New Roman"/>
                <w:i/>
                <w:iCs/>
                <w:noProof/>
                <w:lang w:val="en-GB" w:eastAsia="ja-JP"/>
              </w:rPr>
              <w:t>mpe-Reporting-FR2</w:t>
            </w:r>
            <w:r w:rsidRPr="00381F58">
              <w:rPr>
                <w:rFonts w:eastAsia="Times New Roman"/>
                <w:noProof/>
                <w:lang w:val="en-GB" w:eastAsia="ja-JP"/>
              </w:rPr>
              <w:t xml:space="preserve"> is configured and the Serving Cell operates on FR2, the MAC entity shall set this field to 0 if the applied P-MPR value</w:t>
            </w:r>
            <w:r w:rsidRPr="00381F58">
              <w:rPr>
                <w:rFonts w:eastAsia="Times New Roman"/>
                <w:lang w:val="en-GB"/>
              </w:rPr>
              <w:t xml:space="preserve">, to meet MPE requirements, as specified in TS 38.101-2 [15], </w:t>
            </w:r>
            <w:r w:rsidRPr="00381F58">
              <w:rPr>
                <w:rFonts w:eastAsia="Times New Roman"/>
                <w:noProof/>
                <w:lang w:val="en-GB" w:eastAsia="ja-JP"/>
              </w:rPr>
              <w:t xml:space="preserve">is less than P-MPR_00 as specified in TS 38.133 [11] and to 1 otherwise. If </w:t>
            </w:r>
            <w:r w:rsidRPr="00381F58">
              <w:rPr>
                <w:rFonts w:eastAsia="Times New Roman"/>
                <w:i/>
                <w:iCs/>
                <w:noProof/>
                <w:lang w:val="en-GB" w:eastAsia="ja-JP"/>
              </w:rPr>
              <w:t>mpe-Reporting-FR2</w:t>
            </w:r>
            <w:r w:rsidRPr="00381F58">
              <w:rPr>
                <w:rFonts w:eastAsia="Times New Roman"/>
                <w:noProof/>
                <w:lang w:val="en-GB" w:eastAsia="ja-JP"/>
              </w:rPr>
              <w:t xml:space="preserve"> is not configured or the Serving Cell operates on FR1, this</w:t>
            </w:r>
            <w:r w:rsidRPr="00381F58">
              <w:rPr>
                <w:rFonts w:eastAsia="Times New Roman"/>
                <w:lang w:val="en-GB"/>
              </w:rPr>
              <w:t xml:space="preserve"> field indicates whether power backoff is applied due to power management </w:t>
            </w:r>
            <w:r w:rsidRPr="00381F58">
              <w:rPr>
                <w:rFonts w:eastAsia="Times New Roman"/>
                <w:noProof/>
                <w:lang w:val="en-GB" w:eastAsia="ja-JP"/>
              </w:rPr>
              <w:t>(as allowed by P-MPR</w:t>
            </w:r>
            <w:r w:rsidRPr="00381F58">
              <w:rPr>
                <w:rFonts w:eastAsia="Times New Roman"/>
                <w:noProof/>
                <w:vertAlign w:val="subscript"/>
                <w:lang w:val="en-GB" w:eastAsia="ja-JP"/>
              </w:rPr>
              <w:t>c</w:t>
            </w:r>
            <w:r w:rsidRPr="00381F58">
              <w:rPr>
                <w:rFonts w:eastAsia="Times New Roman"/>
                <w:noProof/>
                <w:lang w:val="en-GB" w:eastAsia="ja-JP"/>
              </w:rPr>
              <w:t xml:space="preserve"> </w:t>
            </w:r>
            <w:r w:rsidRPr="00381F58">
              <w:rPr>
                <w:rFonts w:eastAsia="Times New Roman"/>
                <w:noProof/>
                <w:lang w:val="en-GB"/>
              </w:rPr>
              <w:t xml:space="preserve">as specified in TS 38.101-1 </w:t>
            </w:r>
            <w:r w:rsidRPr="00381F58">
              <w:rPr>
                <w:rFonts w:eastAsia="Times New Roman"/>
                <w:noProof/>
                <w:lang w:val="en-GB" w:eastAsia="ja-JP"/>
              </w:rPr>
              <w:t xml:space="preserve">[14], </w:t>
            </w:r>
            <w:r w:rsidRPr="00381F58">
              <w:rPr>
                <w:rFonts w:eastAsia="DengXian"/>
                <w:noProof/>
                <w:lang w:val="en-GB" w:eastAsia="zh-CN"/>
              </w:rPr>
              <w:t>TS 38.101-2</w:t>
            </w:r>
            <w:r w:rsidRPr="00381F58">
              <w:rPr>
                <w:rFonts w:eastAsia="Times New Roman"/>
                <w:noProof/>
                <w:lang w:val="en-GB" w:eastAsia="ja-JP"/>
              </w:rPr>
              <w:t xml:space="preserve"> [15],</w:t>
            </w:r>
            <w:r w:rsidRPr="00381F58">
              <w:rPr>
                <w:rFonts w:eastAsia="DengXian"/>
                <w:noProof/>
                <w:lang w:val="en-GB" w:eastAsia="zh-CN"/>
              </w:rPr>
              <w:t xml:space="preserve"> </w:t>
            </w:r>
            <w:r w:rsidRPr="00381F58">
              <w:rPr>
                <w:rFonts w:eastAsia="Yu Mincho"/>
                <w:noProof/>
                <w:lang w:val="en-GB" w:eastAsia="ja-JP"/>
              </w:rPr>
              <w:t xml:space="preserve">and </w:t>
            </w:r>
            <w:r w:rsidRPr="00381F58">
              <w:rPr>
                <w:rFonts w:eastAsia="DengXian"/>
                <w:noProof/>
                <w:lang w:val="en-GB" w:eastAsia="zh-CN"/>
              </w:rPr>
              <w:t>TS 38.101-</w:t>
            </w:r>
            <w:r w:rsidRPr="00381F58">
              <w:rPr>
                <w:rFonts w:eastAsia="Yu Mincho"/>
                <w:noProof/>
                <w:lang w:val="en-GB" w:eastAsia="ja-JP"/>
              </w:rPr>
              <w:t>3</w:t>
            </w:r>
            <w:r w:rsidRPr="00381F58">
              <w:rPr>
                <w:rFonts w:eastAsia="Times New Roman"/>
                <w:noProof/>
                <w:lang w:val="en-GB" w:eastAsia="ja-JP"/>
              </w:rPr>
              <w:t xml:space="preserve"> [</w:t>
            </w:r>
            <w:r w:rsidRPr="00381F58">
              <w:rPr>
                <w:rFonts w:eastAsia="Yu Mincho"/>
                <w:noProof/>
                <w:lang w:val="en-GB" w:eastAsia="ja-JP"/>
              </w:rPr>
              <w:t>16</w:t>
            </w:r>
            <w:r w:rsidRPr="00381F58">
              <w:rPr>
                <w:rFonts w:eastAsia="Times New Roman"/>
                <w:noProof/>
                <w:lang w:val="en-GB" w:eastAsia="ja-JP"/>
              </w:rPr>
              <w:t>])</w:t>
            </w:r>
            <w:r w:rsidRPr="00381F58">
              <w:rPr>
                <w:rFonts w:eastAsia="Times New Roman"/>
                <w:lang w:val="en-GB"/>
              </w:rPr>
              <w:t>. The MAC entity shall set the P field to 1 if the corresponding P</w:t>
            </w:r>
            <w:r w:rsidRPr="00381F58">
              <w:rPr>
                <w:rFonts w:eastAsia="Times New Roman"/>
                <w:vertAlign w:val="subscript"/>
                <w:lang w:val="en-GB"/>
              </w:rPr>
              <w:t>CMAX,f,c</w:t>
            </w:r>
            <w:r w:rsidRPr="00381F58">
              <w:rPr>
                <w:rFonts w:eastAsia="Times New Roman"/>
                <w:lang w:val="en-GB"/>
              </w:rPr>
              <w:t xml:space="preserve"> field would have had a different value if no power backoff due to power management had been applied;</w:t>
            </w:r>
          </w:p>
          <w:p w14:paraId="1310F15E" w14:textId="77777777" w:rsidR="00381F58" w:rsidRPr="00381F58" w:rsidRDefault="00381F58" w:rsidP="00381F58">
            <w:pPr>
              <w:widowControl/>
              <w:wordWrap/>
              <w:overflowPunct w:val="0"/>
              <w:adjustRightInd w:val="0"/>
              <w:ind w:left="568" w:hanging="284"/>
              <w:textAlignment w:val="baseline"/>
              <w:rPr>
                <w:rFonts w:eastAsia="Times New Roman"/>
                <w:lang w:val="en-GB"/>
              </w:rPr>
            </w:pPr>
            <w:r w:rsidRPr="00381F58">
              <w:rPr>
                <w:rFonts w:eastAsia="Times New Roman"/>
                <w:lang w:val="en-GB"/>
              </w:rPr>
              <w:t>-</w:t>
            </w:r>
            <w:r w:rsidRPr="00381F58">
              <w:rPr>
                <w:rFonts w:eastAsia="Times New Roman"/>
                <w:lang w:val="en-GB"/>
              </w:rPr>
              <w:tab/>
              <w:t>P</w:t>
            </w:r>
            <w:r w:rsidRPr="00381F58">
              <w:rPr>
                <w:rFonts w:eastAsia="Times New Roman"/>
                <w:vertAlign w:val="subscript"/>
                <w:lang w:val="en-GB"/>
              </w:rPr>
              <w:t>CMAX,f,c</w:t>
            </w:r>
            <w:r w:rsidRPr="00381F58">
              <w:rPr>
                <w:rFonts w:eastAsia="Times New Roman"/>
                <w:lang w:val="en-GB"/>
              </w:rPr>
              <w:t>: This field indicates the P</w:t>
            </w:r>
            <w:r w:rsidRPr="00381F58">
              <w:rPr>
                <w:rFonts w:eastAsia="Times New Roman"/>
                <w:vertAlign w:val="subscript"/>
                <w:lang w:val="en-GB"/>
              </w:rPr>
              <w:t>CMAX,f,c</w:t>
            </w:r>
            <w:r w:rsidRPr="00381F58">
              <w:rPr>
                <w:rFonts w:eastAsia="Times New Roman"/>
                <w:lang w:val="en-GB"/>
              </w:rPr>
              <w:t xml:space="preserve"> (as specified in TS 38.213 [6]) used for calculation of the preceding PH field. The reported P</w:t>
            </w:r>
            <w:r w:rsidRPr="00381F58">
              <w:rPr>
                <w:rFonts w:eastAsia="Times New Roman"/>
                <w:vertAlign w:val="subscript"/>
                <w:lang w:val="en-GB"/>
              </w:rPr>
              <w:t>CMAX,f,c</w:t>
            </w:r>
            <w:r w:rsidRPr="00381F58">
              <w:rPr>
                <w:rFonts w:eastAsia="Times New Roman"/>
                <w:lang w:val="en-GB"/>
              </w:rPr>
              <w:t xml:space="preserve"> and the corresponding nominal UE transmit power levels are shown in Table 6.1.3.8-2 (the corresponding measured values in dBm are specified in TS 38.133 [11]);</w:t>
            </w:r>
          </w:p>
          <w:p w14:paraId="0C08671D" w14:textId="77777777" w:rsidR="00381F58" w:rsidRPr="00381F58" w:rsidRDefault="00381F58" w:rsidP="00381F58">
            <w:pPr>
              <w:widowControl/>
              <w:wordWrap/>
              <w:overflowPunct w:val="0"/>
              <w:adjustRightInd w:val="0"/>
              <w:ind w:left="568" w:hanging="284"/>
              <w:textAlignment w:val="baseline"/>
              <w:rPr>
                <w:rFonts w:eastAsia="Times New Roman"/>
                <w:lang w:val="en-GB"/>
              </w:rPr>
            </w:pPr>
            <w:r w:rsidRPr="00381F58">
              <w:rPr>
                <w:rFonts w:eastAsia="Times New Roman"/>
                <w:lang w:val="en-GB"/>
              </w:rPr>
              <w:t>-</w:t>
            </w:r>
            <w:r w:rsidRPr="00381F58">
              <w:rPr>
                <w:rFonts w:eastAsia="Times New Roman"/>
                <w:lang w:val="en-GB"/>
              </w:rPr>
              <w:tab/>
              <w:t xml:space="preserve">MPE: If </w:t>
            </w:r>
            <w:r w:rsidRPr="00381F58">
              <w:rPr>
                <w:rFonts w:eastAsia="Times New Roman"/>
                <w:i/>
                <w:iCs/>
                <w:lang w:val="en-GB"/>
              </w:rPr>
              <w:t>mpe-Reporting-FR2</w:t>
            </w:r>
            <w:r w:rsidRPr="00381F58">
              <w:rPr>
                <w:rFonts w:eastAsia="Times New Roman"/>
                <w:lang w:val="en-GB"/>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81F58">
              <w:rPr>
                <w:rFonts w:eastAsia="Times New Roman"/>
                <w:i/>
                <w:iCs/>
                <w:lang w:val="en-GB"/>
              </w:rPr>
              <w:t>mpe-Reporting-FR2</w:t>
            </w:r>
            <w:r w:rsidRPr="00381F58">
              <w:rPr>
                <w:rFonts w:eastAsia="Times New Roman"/>
                <w:lang w:val="en-GB"/>
              </w:rPr>
              <w:t xml:space="preserve"> is not configured, or if the Serving Cell operates on FR1, or if the P field is set to 0, R bits are present instead.</w:t>
            </w:r>
          </w:p>
          <w:p w14:paraId="39686D59" w14:textId="77777777" w:rsidR="00381F58" w:rsidRPr="00381F58" w:rsidRDefault="00381F58" w:rsidP="00381F58">
            <w:pPr>
              <w:keepNext/>
              <w:keepLines/>
              <w:widowControl/>
              <w:wordWrap/>
              <w:overflowPunct w:val="0"/>
              <w:adjustRightInd w:val="0"/>
              <w:spacing w:before="60"/>
              <w:jc w:val="center"/>
              <w:textAlignment w:val="baseline"/>
              <w:rPr>
                <w:rFonts w:ascii="Arial" w:eastAsia="Times New Roman" w:hAnsi="Arial"/>
                <w:b/>
                <w:lang w:val="en-GB"/>
              </w:rPr>
            </w:pPr>
            <w:r w:rsidRPr="00381F58">
              <w:rPr>
                <w:rFonts w:ascii="Arial" w:eastAsia="Times New Roman" w:hAnsi="Arial" w:cstheme="minorBidi"/>
                <w:b/>
                <w:kern w:val="2"/>
                <w:szCs w:val="22"/>
                <w:lang w:val="en-GB" w:eastAsia="ja-JP"/>
              </w:rPr>
              <w:object w:dxaOrig="4575" w:dyaOrig="1590" w14:anchorId="20617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79.5pt" o:ole="">
                  <v:imagedata r:id="rId8" o:title=""/>
                </v:shape>
                <o:OLEObject Type="Embed" ProgID="Visio.Drawing.15" ShapeID="_x0000_i1025" DrawAspect="Content" ObjectID="_1706358129" r:id="rId9"/>
              </w:object>
            </w:r>
          </w:p>
          <w:p w14:paraId="7637B071" w14:textId="77777777" w:rsidR="00381F58" w:rsidRPr="00381F58" w:rsidRDefault="00381F58" w:rsidP="00381F58">
            <w:pPr>
              <w:keepLines/>
              <w:widowControl/>
              <w:wordWrap/>
              <w:overflowPunct w:val="0"/>
              <w:adjustRightInd w:val="0"/>
              <w:spacing w:after="240"/>
              <w:jc w:val="center"/>
              <w:textAlignment w:val="baseline"/>
              <w:rPr>
                <w:rFonts w:ascii="Arial" w:eastAsia="Times New Roman" w:hAnsi="Arial"/>
                <w:b/>
                <w:noProof/>
                <w:lang w:val="en-GB"/>
              </w:rPr>
            </w:pPr>
            <w:r w:rsidRPr="00381F58">
              <w:rPr>
                <w:rFonts w:ascii="Arial" w:eastAsia="Times New Roman" w:hAnsi="Arial"/>
                <w:b/>
                <w:noProof/>
                <w:lang w:val="en-GB"/>
              </w:rPr>
              <w:t>Figure 6.1.3.8-1: Single Entry PHR MAC CE</w:t>
            </w:r>
          </w:p>
          <w:p w14:paraId="5178D955" w14:textId="77777777" w:rsidR="00381F58" w:rsidRPr="00381F58" w:rsidRDefault="00381F58" w:rsidP="00381F58">
            <w:pPr>
              <w:keepNext/>
              <w:keepLines/>
              <w:widowControl/>
              <w:wordWrap/>
              <w:overflowPunct w:val="0"/>
              <w:adjustRightInd w:val="0"/>
              <w:spacing w:before="60"/>
              <w:jc w:val="center"/>
              <w:textAlignment w:val="baseline"/>
              <w:rPr>
                <w:rFonts w:ascii="Arial" w:eastAsia="Times New Roman" w:hAnsi="Arial"/>
                <w:b/>
                <w:lang w:val="en-GB" w:eastAsia="ja-JP"/>
              </w:rPr>
            </w:pPr>
            <w:r w:rsidRPr="00381F58">
              <w:rPr>
                <w:rFonts w:ascii="Arial" w:eastAsia="Times New Roman" w:hAnsi="Arial"/>
                <w:b/>
                <w:lang w:val="en-GB" w:eastAsia="ja-JP"/>
              </w:rPr>
              <w:t>Table 6.1.3.</w:t>
            </w:r>
            <w:r w:rsidRPr="00381F58">
              <w:rPr>
                <w:rFonts w:ascii="Arial" w:eastAsia="Times New Roman" w:hAnsi="Arial"/>
                <w:b/>
                <w:lang w:val="en-GB"/>
              </w:rPr>
              <w:t>8</w:t>
            </w:r>
            <w:r w:rsidRPr="00381F58">
              <w:rPr>
                <w:rFonts w:ascii="Arial" w:eastAsia="Times New Roman" w:hAnsi="Arial"/>
                <w:b/>
                <w:lang w:val="en-GB" w:eastAsia="ja-JP"/>
              </w:rP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919"/>
              <w:gridCol w:w="2522"/>
            </w:tblGrid>
            <w:tr w:rsidR="00381F58" w:rsidRPr="00381F58" w14:paraId="65FA9FD9" w14:textId="77777777" w:rsidTr="008A44E0">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4367C81"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ja-JP"/>
                    </w:rPr>
                  </w:pPr>
                  <w:r w:rsidRPr="00381F58">
                    <w:rPr>
                      <w:rFonts w:ascii="Arial" w:eastAsia="Times New Roman" w:hAnsi="Arial" w:cs="Times New Roman"/>
                      <w:b/>
                      <w:kern w:val="0"/>
                      <w:sz w:val="18"/>
                      <w:szCs w:val="20"/>
                      <w:lang w:val="en-GB" w:eastAsia="ja-JP"/>
                    </w:rPr>
                    <w:t>PH</w:t>
                  </w:r>
                </w:p>
              </w:tc>
              <w:tc>
                <w:tcPr>
                  <w:tcW w:w="2522" w:type="dxa"/>
                  <w:tcBorders>
                    <w:top w:val="single" w:sz="4" w:space="0" w:color="auto"/>
                    <w:left w:val="single" w:sz="4" w:space="0" w:color="auto"/>
                    <w:bottom w:val="single" w:sz="4" w:space="0" w:color="auto"/>
                    <w:right w:val="single" w:sz="4" w:space="0" w:color="auto"/>
                  </w:tcBorders>
                  <w:vAlign w:val="bottom"/>
                </w:tcPr>
                <w:p w14:paraId="5953268C"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ja-JP"/>
                    </w:rPr>
                  </w:pPr>
                  <w:r w:rsidRPr="00381F58">
                    <w:rPr>
                      <w:rFonts w:ascii="Arial" w:eastAsia="Times New Roman" w:hAnsi="Arial" w:cs="Times New Roman"/>
                      <w:b/>
                      <w:kern w:val="0"/>
                      <w:sz w:val="18"/>
                      <w:szCs w:val="20"/>
                      <w:lang w:val="en-GB" w:eastAsia="ja-JP"/>
                    </w:rPr>
                    <w:t>Power Headroom Level</w:t>
                  </w:r>
                </w:p>
              </w:tc>
            </w:tr>
            <w:tr w:rsidR="00381F58" w:rsidRPr="00381F58" w14:paraId="23635965" w14:textId="77777777" w:rsidTr="008A44E0">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AD3439D"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0</w:t>
                  </w:r>
                </w:p>
              </w:tc>
              <w:tc>
                <w:tcPr>
                  <w:tcW w:w="2522" w:type="dxa"/>
                  <w:tcBorders>
                    <w:top w:val="single" w:sz="4" w:space="0" w:color="auto"/>
                    <w:left w:val="single" w:sz="4" w:space="0" w:color="auto"/>
                    <w:bottom w:val="single" w:sz="4" w:space="0" w:color="auto"/>
                    <w:right w:val="single" w:sz="4" w:space="0" w:color="auto"/>
                  </w:tcBorders>
                </w:tcPr>
                <w:p w14:paraId="75D5BA92"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POWER_HEADROOM_0</w:t>
                  </w:r>
                </w:p>
              </w:tc>
            </w:tr>
            <w:tr w:rsidR="00381F58" w:rsidRPr="00381F58" w14:paraId="07F5A9A4" w14:textId="77777777" w:rsidTr="008A44E0">
              <w:trPr>
                <w:trHeight w:val="240"/>
                <w:jc w:val="center"/>
              </w:trPr>
              <w:tc>
                <w:tcPr>
                  <w:tcW w:w="919" w:type="dxa"/>
                  <w:tcBorders>
                    <w:top w:val="single" w:sz="4" w:space="0" w:color="auto"/>
                  </w:tcBorders>
                  <w:noWrap/>
                  <w:vAlign w:val="bottom"/>
                </w:tcPr>
                <w:p w14:paraId="35692FF7"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1</w:t>
                  </w:r>
                </w:p>
              </w:tc>
              <w:tc>
                <w:tcPr>
                  <w:tcW w:w="2522" w:type="dxa"/>
                  <w:tcBorders>
                    <w:top w:val="single" w:sz="4" w:space="0" w:color="auto"/>
                  </w:tcBorders>
                </w:tcPr>
                <w:p w14:paraId="1F61DA05"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POWER_HEADROOM_1</w:t>
                  </w:r>
                </w:p>
              </w:tc>
            </w:tr>
            <w:tr w:rsidR="00381F58" w:rsidRPr="00381F58" w14:paraId="673739E6" w14:textId="77777777" w:rsidTr="008A44E0">
              <w:trPr>
                <w:trHeight w:val="240"/>
                <w:jc w:val="center"/>
              </w:trPr>
              <w:tc>
                <w:tcPr>
                  <w:tcW w:w="919" w:type="dxa"/>
                  <w:noWrap/>
                  <w:vAlign w:val="bottom"/>
                </w:tcPr>
                <w:p w14:paraId="7679B86A"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2</w:t>
                  </w:r>
                </w:p>
              </w:tc>
              <w:tc>
                <w:tcPr>
                  <w:tcW w:w="2522" w:type="dxa"/>
                  <w:vAlign w:val="bottom"/>
                </w:tcPr>
                <w:p w14:paraId="36A4B16B"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POWER_HEADROOM_2</w:t>
                  </w:r>
                </w:p>
              </w:tc>
            </w:tr>
            <w:tr w:rsidR="00381F58" w:rsidRPr="00381F58" w14:paraId="1313F5BC" w14:textId="77777777" w:rsidTr="008A44E0">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CB51933"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3</w:t>
                  </w:r>
                </w:p>
              </w:tc>
              <w:tc>
                <w:tcPr>
                  <w:tcW w:w="2522" w:type="dxa"/>
                  <w:tcBorders>
                    <w:top w:val="single" w:sz="4" w:space="0" w:color="auto"/>
                    <w:left w:val="single" w:sz="4" w:space="0" w:color="auto"/>
                    <w:bottom w:val="single" w:sz="4" w:space="0" w:color="auto"/>
                    <w:right w:val="single" w:sz="4" w:space="0" w:color="auto"/>
                  </w:tcBorders>
                  <w:vAlign w:val="bottom"/>
                </w:tcPr>
                <w:p w14:paraId="5A94A1E7"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POWER_HEADROOM_3</w:t>
                  </w:r>
                </w:p>
              </w:tc>
            </w:tr>
            <w:tr w:rsidR="00381F58" w:rsidRPr="00381F58" w14:paraId="4B8EA62D" w14:textId="77777777" w:rsidTr="008A44E0">
              <w:trPr>
                <w:trHeight w:val="240"/>
                <w:jc w:val="center"/>
              </w:trPr>
              <w:tc>
                <w:tcPr>
                  <w:tcW w:w="919" w:type="dxa"/>
                  <w:tcBorders>
                    <w:top w:val="single" w:sz="4" w:space="0" w:color="auto"/>
                  </w:tcBorders>
                  <w:noWrap/>
                  <w:vAlign w:val="bottom"/>
                </w:tcPr>
                <w:p w14:paraId="7FC6E677"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w:t>
                  </w:r>
                </w:p>
              </w:tc>
              <w:tc>
                <w:tcPr>
                  <w:tcW w:w="2522" w:type="dxa"/>
                  <w:tcBorders>
                    <w:top w:val="single" w:sz="4" w:space="0" w:color="auto"/>
                  </w:tcBorders>
                  <w:vAlign w:val="bottom"/>
                </w:tcPr>
                <w:p w14:paraId="0C8453C7"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w:t>
                  </w:r>
                </w:p>
              </w:tc>
            </w:tr>
            <w:tr w:rsidR="00381F58" w:rsidRPr="00381F58" w14:paraId="4713F19B" w14:textId="77777777" w:rsidTr="008A44E0">
              <w:trPr>
                <w:trHeight w:val="240"/>
                <w:jc w:val="center"/>
              </w:trPr>
              <w:tc>
                <w:tcPr>
                  <w:tcW w:w="919" w:type="dxa"/>
                  <w:noWrap/>
                  <w:vAlign w:val="bottom"/>
                </w:tcPr>
                <w:p w14:paraId="3A89DE9F"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60</w:t>
                  </w:r>
                </w:p>
              </w:tc>
              <w:tc>
                <w:tcPr>
                  <w:tcW w:w="2522" w:type="dxa"/>
                  <w:vAlign w:val="bottom"/>
                </w:tcPr>
                <w:p w14:paraId="562E3E2C"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POWER_HEADROOM_60</w:t>
                  </w:r>
                </w:p>
              </w:tc>
            </w:tr>
            <w:tr w:rsidR="00381F58" w:rsidRPr="00381F58" w14:paraId="6858E9E4" w14:textId="77777777" w:rsidTr="008A44E0">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328960E"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61</w:t>
                  </w:r>
                </w:p>
              </w:tc>
              <w:tc>
                <w:tcPr>
                  <w:tcW w:w="2522" w:type="dxa"/>
                  <w:tcBorders>
                    <w:top w:val="single" w:sz="4" w:space="0" w:color="auto"/>
                    <w:left w:val="single" w:sz="4" w:space="0" w:color="auto"/>
                    <w:bottom w:val="single" w:sz="4" w:space="0" w:color="auto"/>
                    <w:right w:val="single" w:sz="4" w:space="0" w:color="auto"/>
                  </w:tcBorders>
                  <w:vAlign w:val="bottom"/>
                </w:tcPr>
                <w:p w14:paraId="2711939E"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POWER_HEADROOM_61</w:t>
                  </w:r>
                </w:p>
              </w:tc>
            </w:tr>
            <w:tr w:rsidR="00381F58" w:rsidRPr="00381F58" w14:paraId="53065F08" w14:textId="77777777" w:rsidTr="008A44E0">
              <w:trPr>
                <w:trHeight w:val="240"/>
                <w:jc w:val="center"/>
              </w:trPr>
              <w:tc>
                <w:tcPr>
                  <w:tcW w:w="919" w:type="dxa"/>
                  <w:tcBorders>
                    <w:top w:val="single" w:sz="4" w:space="0" w:color="auto"/>
                  </w:tcBorders>
                  <w:noWrap/>
                  <w:vAlign w:val="bottom"/>
                </w:tcPr>
                <w:p w14:paraId="3611B355"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62</w:t>
                  </w:r>
                </w:p>
              </w:tc>
              <w:tc>
                <w:tcPr>
                  <w:tcW w:w="2522" w:type="dxa"/>
                  <w:tcBorders>
                    <w:top w:val="single" w:sz="4" w:space="0" w:color="auto"/>
                  </w:tcBorders>
                  <w:vAlign w:val="bottom"/>
                </w:tcPr>
                <w:p w14:paraId="6019A61C"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POWER_HEADROOM_62</w:t>
                  </w:r>
                </w:p>
              </w:tc>
            </w:tr>
            <w:tr w:rsidR="00381F58" w:rsidRPr="00381F58" w14:paraId="1D11533F" w14:textId="77777777" w:rsidTr="008A44E0">
              <w:trPr>
                <w:trHeight w:val="240"/>
                <w:jc w:val="center"/>
              </w:trPr>
              <w:tc>
                <w:tcPr>
                  <w:tcW w:w="919" w:type="dxa"/>
                  <w:noWrap/>
                  <w:vAlign w:val="bottom"/>
                </w:tcPr>
                <w:p w14:paraId="36788E19"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63</w:t>
                  </w:r>
                </w:p>
              </w:tc>
              <w:tc>
                <w:tcPr>
                  <w:tcW w:w="2522" w:type="dxa"/>
                  <w:vAlign w:val="bottom"/>
                </w:tcPr>
                <w:p w14:paraId="49F026E7"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rPr>
                  </w:pPr>
                  <w:r w:rsidRPr="00381F58">
                    <w:rPr>
                      <w:rFonts w:ascii="Arial" w:eastAsia="Times New Roman" w:hAnsi="Arial" w:cs="Times New Roman"/>
                      <w:kern w:val="0"/>
                      <w:sz w:val="18"/>
                      <w:szCs w:val="20"/>
                      <w:lang w:val="en-GB"/>
                    </w:rPr>
                    <w:t>POWER_HEADROOM_63</w:t>
                  </w:r>
                </w:p>
              </w:tc>
            </w:tr>
          </w:tbl>
          <w:p w14:paraId="3CB35DDF" w14:textId="77777777" w:rsidR="00381F58" w:rsidRPr="00381F58" w:rsidRDefault="00381F58" w:rsidP="00381F58">
            <w:pPr>
              <w:widowControl/>
              <w:wordWrap/>
              <w:overflowPunct w:val="0"/>
              <w:adjustRightInd w:val="0"/>
              <w:textAlignment w:val="baseline"/>
              <w:rPr>
                <w:rFonts w:eastAsia="Times New Roman"/>
                <w:lang w:val="en-GB"/>
              </w:rPr>
            </w:pPr>
          </w:p>
          <w:p w14:paraId="72A96277" w14:textId="77777777" w:rsidR="00381F58" w:rsidRPr="00262EBE" w:rsidRDefault="00381F58" w:rsidP="00381F58">
            <w:pPr>
              <w:pStyle w:val="TH"/>
            </w:pPr>
            <w:r w:rsidRPr="00262EBE">
              <w:t>Table 6.1.3.</w:t>
            </w:r>
            <w:r w:rsidRPr="00262EBE">
              <w:rPr>
                <w:lang w:eastAsia="ko-KR"/>
              </w:rPr>
              <w:t>8</w:t>
            </w:r>
            <w:r w:rsidRPr="00262EBE">
              <w:t>-</w:t>
            </w:r>
            <w:r w:rsidRPr="00262EBE">
              <w:rPr>
                <w:lang w:eastAsia="ko-KR"/>
              </w:rPr>
              <w:t>2</w:t>
            </w:r>
            <w:r w:rsidRPr="00262EBE">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399"/>
              <w:gridCol w:w="3840"/>
            </w:tblGrid>
            <w:tr w:rsidR="00381F58" w:rsidRPr="00262EBE" w14:paraId="0423CCF0" w14:textId="77777777" w:rsidTr="008A44E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73363AB" w14:textId="77777777" w:rsidR="00381F58" w:rsidRPr="00262EBE" w:rsidRDefault="00381F58" w:rsidP="00381F58">
                  <w:pPr>
                    <w:pStyle w:val="TAH"/>
                    <w:rPr>
                      <w:lang w:eastAsia="ko-KR"/>
                    </w:rPr>
                  </w:pPr>
                  <w:r w:rsidRPr="00262EBE">
                    <w:rPr>
                      <w:lang w:eastAsia="ko-KR"/>
                    </w:rPr>
                    <w:t>P</w:t>
                  </w:r>
                  <w:r w:rsidRPr="00262EBE">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39837B73" w14:textId="77777777" w:rsidR="00381F58" w:rsidRPr="00262EBE" w:rsidRDefault="00381F58" w:rsidP="00381F58">
                  <w:pPr>
                    <w:pStyle w:val="TAH"/>
                    <w:rPr>
                      <w:lang w:eastAsia="ko-KR"/>
                    </w:rPr>
                  </w:pPr>
                  <w:r w:rsidRPr="00262EBE">
                    <w:rPr>
                      <w:lang w:eastAsia="ko-KR"/>
                    </w:rPr>
                    <w:t>Nominal UE transmit power level</w:t>
                  </w:r>
                </w:p>
              </w:tc>
            </w:tr>
            <w:tr w:rsidR="00381F58" w:rsidRPr="00262EBE" w14:paraId="40CC4932" w14:textId="77777777" w:rsidTr="008A44E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C79C4B6" w14:textId="77777777" w:rsidR="00381F58" w:rsidRPr="00262EBE" w:rsidRDefault="00381F58" w:rsidP="00381F58">
                  <w:pPr>
                    <w:pStyle w:val="TAC"/>
                    <w:rPr>
                      <w:lang w:eastAsia="ko-KR"/>
                    </w:rPr>
                  </w:pPr>
                  <w:r w:rsidRPr="00262EBE">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167C7CCC" w14:textId="77777777" w:rsidR="00381F58" w:rsidRPr="00262EBE" w:rsidRDefault="00381F58" w:rsidP="00381F58">
                  <w:pPr>
                    <w:pStyle w:val="TAC"/>
                    <w:ind w:left="284"/>
                    <w:rPr>
                      <w:lang w:eastAsia="ko-KR"/>
                    </w:rPr>
                  </w:pPr>
                  <w:r w:rsidRPr="00262EBE">
                    <w:rPr>
                      <w:lang w:eastAsia="zh-CN"/>
                    </w:rPr>
                    <w:t>PCMAX_C_</w:t>
                  </w:r>
                  <w:r w:rsidRPr="00262EBE">
                    <w:rPr>
                      <w:lang w:eastAsia="ko-KR"/>
                    </w:rPr>
                    <w:t>0</w:t>
                  </w:r>
                  <w:r w:rsidRPr="00262EBE">
                    <w:rPr>
                      <w:lang w:eastAsia="zh-CN"/>
                    </w:rPr>
                    <w:t>0</w:t>
                  </w:r>
                </w:p>
              </w:tc>
            </w:tr>
            <w:tr w:rsidR="00381F58" w:rsidRPr="00262EBE" w14:paraId="0F26ECE6" w14:textId="77777777" w:rsidTr="008A44E0">
              <w:trPr>
                <w:trHeight w:val="254"/>
                <w:jc w:val="center"/>
              </w:trPr>
              <w:tc>
                <w:tcPr>
                  <w:tcW w:w="1399" w:type="dxa"/>
                  <w:tcBorders>
                    <w:top w:val="single" w:sz="4" w:space="0" w:color="auto"/>
                  </w:tcBorders>
                  <w:noWrap/>
                  <w:vAlign w:val="bottom"/>
                </w:tcPr>
                <w:p w14:paraId="7820C7A5" w14:textId="77777777" w:rsidR="00381F58" w:rsidRPr="00262EBE" w:rsidRDefault="00381F58" w:rsidP="00381F58">
                  <w:pPr>
                    <w:pStyle w:val="TAC"/>
                    <w:rPr>
                      <w:lang w:eastAsia="ko-KR"/>
                    </w:rPr>
                  </w:pPr>
                  <w:r w:rsidRPr="00262EBE">
                    <w:rPr>
                      <w:lang w:eastAsia="ko-KR"/>
                    </w:rPr>
                    <w:t>1</w:t>
                  </w:r>
                </w:p>
              </w:tc>
              <w:tc>
                <w:tcPr>
                  <w:tcW w:w="3840" w:type="dxa"/>
                  <w:tcBorders>
                    <w:top w:val="single" w:sz="4" w:space="0" w:color="auto"/>
                  </w:tcBorders>
                </w:tcPr>
                <w:p w14:paraId="1C9805E5" w14:textId="77777777" w:rsidR="00381F58" w:rsidRPr="00262EBE" w:rsidRDefault="00381F58" w:rsidP="00381F58">
                  <w:pPr>
                    <w:pStyle w:val="TAC"/>
                    <w:ind w:left="284"/>
                    <w:rPr>
                      <w:lang w:eastAsia="ko-KR"/>
                    </w:rPr>
                  </w:pPr>
                  <w:r w:rsidRPr="00262EBE">
                    <w:rPr>
                      <w:lang w:eastAsia="zh-CN"/>
                    </w:rPr>
                    <w:t>PCMAX_C_</w:t>
                  </w:r>
                  <w:r w:rsidRPr="00262EBE">
                    <w:rPr>
                      <w:lang w:eastAsia="ko-KR"/>
                    </w:rPr>
                    <w:t>0</w:t>
                  </w:r>
                  <w:r w:rsidRPr="00262EBE">
                    <w:rPr>
                      <w:lang w:eastAsia="zh-CN"/>
                    </w:rPr>
                    <w:t>1</w:t>
                  </w:r>
                </w:p>
              </w:tc>
            </w:tr>
            <w:tr w:rsidR="00381F58" w:rsidRPr="00262EBE" w14:paraId="17371ECD" w14:textId="77777777" w:rsidTr="008A44E0">
              <w:trPr>
                <w:trHeight w:val="254"/>
                <w:jc w:val="center"/>
              </w:trPr>
              <w:tc>
                <w:tcPr>
                  <w:tcW w:w="1399" w:type="dxa"/>
                  <w:noWrap/>
                  <w:vAlign w:val="bottom"/>
                </w:tcPr>
                <w:p w14:paraId="635AEAB3" w14:textId="77777777" w:rsidR="00381F58" w:rsidRPr="00262EBE" w:rsidRDefault="00381F58" w:rsidP="00381F58">
                  <w:pPr>
                    <w:pStyle w:val="TAC"/>
                    <w:rPr>
                      <w:lang w:eastAsia="ko-KR"/>
                    </w:rPr>
                  </w:pPr>
                  <w:r w:rsidRPr="00262EBE">
                    <w:rPr>
                      <w:lang w:eastAsia="ko-KR"/>
                    </w:rPr>
                    <w:t>2</w:t>
                  </w:r>
                </w:p>
              </w:tc>
              <w:tc>
                <w:tcPr>
                  <w:tcW w:w="3840" w:type="dxa"/>
                </w:tcPr>
                <w:p w14:paraId="31EAC93E" w14:textId="77777777" w:rsidR="00381F58" w:rsidRPr="00262EBE" w:rsidRDefault="00381F58" w:rsidP="00381F58">
                  <w:pPr>
                    <w:pStyle w:val="TAC"/>
                    <w:ind w:left="284"/>
                    <w:rPr>
                      <w:lang w:eastAsia="ko-KR"/>
                    </w:rPr>
                  </w:pPr>
                  <w:r w:rsidRPr="00262EBE">
                    <w:rPr>
                      <w:lang w:eastAsia="zh-CN"/>
                    </w:rPr>
                    <w:t>PCMAX_C_</w:t>
                  </w:r>
                  <w:r w:rsidRPr="00262EBE">
                    <w:rPr>
                      <w:lang w:eastAsia="ko-KR"/>
                    </w:rPr>
                    <w:t>02</w:t>
                  </w:r>
                </w:p>
              </w:tc>
            </w:tr>
            <w:tr w:rsidR="00381F58" w:rsidRPr="00262EBE" w14:paraId="053085D5" w14:textId="77777777" w:rsidTr="008A44E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8A558B1" w14:textId="77777777" w:rsidR="00381F58" w:rsidRPr="00262EBE" w:rsidRDefault="00381F58" w:rsidP="00381F58">
                  <w:pPr>
                    <w:pStyle w:val="TAC"/>
                    <w:rPr>
                      <w:lang w:eastAsia="ko-KR"/>
                    </w:rPr>
                  </w:pPr>
                  <w:r w:rsidRPr="00262EBE">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3A485D4F" w14:textId="77777777" w:rsidR="00381F58" w:rsidRPr="00262EBE" w:rsidRDefault="00381F58" w:rsidP="00381F58">
                  <w:pPr>
                    <w:pStyle w:val="TAC"/>
                    <w:rPr>
                      <w:lang w:eastAsia="ko-KR"/>
                    </w:rPr>
                  </w:pPr>
                  <w:r w:rsidRPr="00262EBE">
                    <w:rPr>
                      <w:lang w:eastAsia="ko-KR"/>
                    </w:rPr>
                    <w:t>…</w:t>
                  </w:r>
                </w:p>
              </w:tc>
            </w:tr>
            <w:tr w:rsidR="00381F58" w:rsidRPr="00262EBE" w14:paraId="10B4CC8D" w14:textId="77777777" w:rsidTr="008A44E0">
              <w:trPr>
                <w:trHeight w:val="254"/>
                <w:jc w:val="center"/>
              </w:trPr>
              <w:tc>
                <w:tcPr>
                  <w:tcW w:w="1399" w:type="dxa"/>
                  <w:tcBorders>
                    <w:top w:val="single" w:sz="4" w:space="0" w:color="auto"/>
                  </w:tcBorders>
                  <w:noWrap/>
                  <w:vAlign w:val="bottom"/>
                </w:tcPr>
                <w:p w14:paraId="318ADF99" w14:textId="77777777" w:rsidR="00381F58" w:rsidRPr="00262EBE" w:rsidRDefault="00381F58" w:rsidP="00381F58">
                  <w:pPr>
                    <w:pStyle w:val="TAC"/>
                    <w:rPr>
                      <w:lang w:eastAsia="ko-KR"/>
                    </w:rPr>
                  </w:pPr>
                  <w:r w:rsidRPr="00262EBE">
                    <w:rPr>
                      <w:lang w:eastAsia="ko-KR"/>
                    </w:rPr>
                    <w:t>61</w:t>
                  </w:r>
                </w:p>
              </w:tc>
              <w:tc>
                <w:tcPr>
                  <w:tcW w:w="3840" w:type="dxa"/>
                  <w:tcBorders>
                    <w:top w:val="single" w:sz="4" w:space="0" w:color="auto"/>
                  </w:tcBorders>
                </w:tcPr>
                <w:p w14:paraId="37B0B24C" w14:textId="77777777" w:rsidR="00381F58" w:rsidRPr="00262EBE" w:rsidRDefault="00381F58" w:rsidP="00381F58">
                  <w:pPr>
                    <w:pStyle w:val="TAC"/>
                    <w:ind w:left="284"/>
                    <w:rPr>
                      <w:lang w:eastAsia="ko-KR"/>
                    </w:rPr>
                  </w:pPr>
                  <w:r w:rsidRPr="00262EBE">
                    <w:rPr>
                      <w:lang w:eastAsia="zh-CN"/>
                    </w:rPr>
                    <w:t>PCMAX_C_61</w:t>
                  </w:r>
                </w:p>
              </w:tc>
            </w:tr>
            <w:tr w:rsidR="00381F58" w:rsidRPr="00262EBE" w14:paraId="064C200F" w14:textId="77777777" w:rsidTr="008A44E0">
              <w:trPr>
                <w:trHeight w:val="254"/>
                <w:jc w:val="center"/>
              </w:trPr>
              <w:tc>
                <w:tcPr>
                  <w:tcW w:w="1399" w:type="dxa"/>
                  <w:noWrap/>
                  <w:vAlign w:val="bottom"/>
                </w:tcPr>
                <w:p w14:paraId="031806E2" w14:textId="77777777" w:rsidR="00381F58" w:rsidRPr="00262EBE" w:rsidRDefault="00381F58" w:rsidP="00381F58">
                  <w:pPr>
                    <w:pStyle w:val="TAC"/>
                    <w:rPr>
                      <w:lang w:eastAsia="ko-KR"/>
                    </w:rPr>
                  </w:pPr>
                  <w:r w:rsidRPr="00262EBE">
                    <w:rPr>
                      <w:lang w:eastAsia="ko-KR"/>
                    </w:rPr>
                    <w:t>62</w:t>
                  </w:r>
                </w:p>
              </w:tc>
              <w:tc>
                <w:tcPr>
                  <w:tcW w:w="3840" w:type="dxa"/>
                </w:tcPr>
                <w:p w14:paraId="4BCCAE6B" w14:textId="77777777" w:rsidR="00381F58" w:rsidRPr="00262EBE" w:rsidRDefault="00381F58" w:rsidP="00381F58">
                  <w:pPr>
                    <w:pStyle w:val="TAC"/>
                    <w:ind w:left="284"/>
                    <w:rPr>
                      <w:lang w:eastAsia="ko-KR"/>
                    </w:rPr>
                  </w:pPr>
                  <w:r w:rsidRPr="00262EBE">
                    <w:rPr>
                      <w:lang w:eastAsia="zh-CN"/>
                    </w:rPr>
                    <w:t>PCMAX_C_62</w:t>
                  </w:r>
                </w:p>
              </w:tc>
            </w:tr>
            <w:tr w:rsidR="00381F58" w:rsidRPr="00262EBE" w14:paraId="50A19775" w14:textId="77777777" w:rsidTr="008A44E0">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1769A1F" w14:textId="77777777" w:rsidR="00381F58" w:rsidRPr="00262EBE" w:rsidRDefault="00381F58" w:rsidP="00381F58">
                  <w:pPr>
                    <w:pStyle w:val="TAC"/>
                    <w:rPr>
                      <w:lang w:eastAsia="ko-KR"/>
                    </w:rPr>
                  </w:pPr>
                  <w:r w:rsidRPr="00262EBE">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2E03535B" w14:textId="77777777" w:rsidR="00381F58" w:rsidRPr="00262EBE" w:rsidRDefault="00381F58" w:rsidP="00381F58">
                  <w:pPr>
                    <w:pStyle w:val="TAC"/>
                    <w:ind w:left="284"/>
                    <w:rPr>
                      <w:lang w:eastAsia="ko-KR"/>
                    </w:rPr>
                  </w:pPr>
                  <w:r w:rsidRPr="00262EBE">
                    <w:rPr>
                      <w:lang w:eastAsia="zh-CN"/>
                    </w:rPr>
                    <w:t>PCMAX_C_63</w:t>
                  </w:r>
                </w:p>
              </w:tc>
            </w:tr>
          </w:tbl>
          <w:p w14:paraId="623C55B1" w14:textId="77777777" w:rsidR="00381F58" w:rsidRPr="00262EBE" w:rsidRDefault="00381F58" w:rsidP="00381F58">
            <w:pPr>
              <w:keepLines/>
            </w:pPr>
          </w:p>
          <w:p w14:paraId="2A7C5EB8" w14:textId="77777777" w:rsidR="00381F58" w:rsidRPr="00381F58" w:rsidRDefault="00381F58" w:rsidP="00381F58">
            <w:pPr>
              <w:keepNext/>
              <w:keepLines/>
              <w:widowControl/>
              <w:wordWrap/>
              <w:overflowPunct w:val="0"/>
              <w:adjustRightInd w:val="0"/>
              <w:spacing w:before="60"/>
              <w:jc w:val="center"/>
              <w:textAlignment w:val="baseline"/>
              <w:rPr>
                <w:rFonts w:ascii="Arial" w:eastAsia="Times New Roman" w:hAnsi="Arial"/>
                <w:b/>
                <w:lang w:val="en-GB" w:eastAsia="ja-JP"/>
              </w:rPr>
            </w:pPr>
            <w:r w:rsidRPr="00381F58">
              <w:rPr>
                <w:rFonts w:ascii="Arial" w:eastAsia="Times New Roman" w:hAnsi="Arial"/>
                <w:b/>
                <w:lang w:val="en-GB" w:eastAsia="ja-JP"/>
              </w:rPr>
              <w:lastRenderedPageBreak/>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757"/>
            </w:tblGrid>
            <w:tr w:rsidR="00381F58" w:rsidRPr="00381F58" w14:paraId="1E2D8BED" w14:textId="77777777" w:rsidTr="008A44E0">
              <w:trPr>
                <w:jc w:val="center"/>
              </w:trPr>
              <w:tc>
                <w:tcPr>
                  <w:tcW w:w="1345" w:type="dxa"/>
                  <w:tcBorders>
                    <w:top w:val="single" w:sz="4" w:space="0" w:color="auto"/>
                    <w:left w:val="single" w:sz="4" w:space="0" w:color="auto"/>
                    <w:bottom w:val="single" w:sz="4" w:space="0" w:color="auto"/>
                    <w:right w:val="single" w:sz="4" w:space="0" w:color="auto"/>
                  </w:tcBorders>
                </w:tcPr>
                <w:p w14:paraId="004A7F0E"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rPr>
                  </w:pPr>
                  <w:r w:rsidRPr="00381F58">
                    <w:rPr>
                      <w:rFonts w:ascii="Arial" w:eastAsia="Times New Roman" w:hAnsi="Arial" w:cs="Times New Roman"/>
                      <w:b/>
                      <w:kern w:val="0"/>
                      <w:sz w:val="18"/>
                      <w:szCs w:val="20"/>
                      <w:lang w:val="en-GB"/>
                    </w:rPr>
                    <w:t>MPE</w:t>
                  </w:r>
                </w:p>
              </w:tc>
              <w:tc>
                <w:tcPr>
                  <w:tcW w:w="3757" w:type="dxa"/>
                  <w:tcBorders>
                    <w:top w:val="single" w:sz="4" w:space="0" w:color="auto"/>
                    <w:left w:val="single" w:sz="4" w:space="0" w:color="auto"/>
                    <w:bottom w:val="single" w:sz="4" w:space="0" w:color="auto"/>
                    <w:right w:val="single" w:sz="4" w:space="0" w:color="auto"/>
                  </w:tcBorders>
                </w:tcPr>
                <w:p w14:paraId="44F8F721"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rPr>
                  </w:pPr>
                  <w:r w:rsidRPr="00381F58">
                    <w:rPr>
                      <w:rFonts w:ascii="Arial" w:eastAsia="Times New Roman" w:hAnsi="Arial" w:cs="Times New Roman"/>
                      <w:b/>
                      <w:kern w:val="0"/>
                      <w:sz w:val="18"/>
                      <w:szCs w:val="20"/>
                      <w:lang w:val="en-GB"/>
                    </w:rPr>
                    <w:t>Measured P-MPR value</w:t>
                  </w:r>
                </w:p>
              </w:tc>
            </w:tr>
            <w:tr w:rsidR="00381F58" w:rsidRPr="00381F58" w14:paraId="2437368A" w14:textId="77777777" w:rsidTr="008A44E0">
              <w:trPr>
                <w:jc w:val="center"/>
              </w:trPr>
              <w:tc>
                <w:tcPr>
                  <w:tcW w:w="1345" w:type="dxa"/>
                  <w:tcBorders>
                    <w:top w:val="single" w:sz="4" w:space="0" w:color="auto"/>
                    <w:left w:val="single" w:sz="4" w:space="0" w:color="auto"/>
                    <w:bottom w:val="single" w:sz="4" w:space="0" w:color="auto"/>
                    <w:right w:val="single" w:sz="4" w:space="0" w:color="auto"/>
                  </w:tcBorders>
                </w:tcPr>
                <w:p w14:paraId="545DCA47"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zh-CN"/>
                    </w:rPr>
                  </w:pPr>
                  <w:r w:rsidRPr="00381F58">
                    <w:rPr>
                      <w:rFonts w:ascii="Arial" w:eastAsia="Times New Roman" w:hAnsi="Arial" w:cs="Times New Roman"/>
                      <w:kern w:val="0"/>
                      <w:sz w:val="18"/>
                      <w:szCs w:val="20"/>
                      <w:lang w:val="en-GB"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2D25F510"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zh-CN"/>
                    </w:rPr>
                  </w:pPr>
                  <w:r w:rsidRPr="00381F58">
                    <w:rPr>
                      <w:rFonts w:ascii="Arial" w:eastAsia="Times New Roman" w:hAnsi="Arial" w:cs="Times New Roman"/>
                      <w:kern w:val="0"/>
                      <w:sz w:val="18"/>
                      <w:szCs w:val="20"/>
                      <w:lang w:val="en-GB"/>
                    </w:rPr>
                    <w:t>P-MPR_00</w:t>
                  </w:r>
                </w:p>
              </w:tc>
            </w:tr>
            <w:tr w:rsidR="00381F58" w:rsidRPr="00381F58" w14:paraId="162AABA4" w14:textId="77777777" w:rsidTr="008A44E0">
              <w:trPr>
                <w:jc w:val="center"/>
              </w:trPr>
              <w:tc>
                <w:tcPr>
                  <w:tcW w:w="1345" w:type="dxa"/>
                  <w:tcBorders>
                    <w:top w:val="single" w:sz="4" w:space="0" w:color="auto"/>
                    <w:left w:val="single" w:sz="4" w:space="0" w:color="auto"/>
                    <w:bottom w:val="single" w:sz="4" w:space="0" w:color="auto"/>
                    <w:right w:val="single" w:sz="4" w:space="0" w:color="auto"/>
                  </w:tcBorders>
                </w:tcPr>
                <w:p w14:paraId="753409CC"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zh-CN"/>
                    </w:rPr>
                  </w:pPr>
                  <w:r w:rsidRPr="00381F58">
                    <w:rPr>
                      <w:rFonts w:ascii="Arial" w:eastAsia="Times New Roman" w:hAnsi="Arial" w:cs="Times New Roman"/>
                      <w:kern w:val="0"/>
                      <w:sz w:val="18"/>
                      <w:szCs w:val="20"/>
                      <w:lang w:val="en-GB"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6868C3C1"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zh-CN"/>
                    </w:rPr>
                  </w:pPr>
                  <w:r w:rsidRPr="00381F58">
                    <w:rPr>
                      <w:rFonts w:ascii="Arial" w:eastAsia="Times New Roman" w:hAnsi="Arial" w:cs="Times New Roman"/>
                      <w:kern w:val="0"/>
                      <w:sz w:val="18"/>
                      <w:szCs w:val="20"/>
                      <w:lang w:val="en-GB"/>
                    </w:rPr>
                    <w:t>P-MPR_01</w:t>
                  </w:r>
                </w:p>
              </w:tc>
            </w:tr>
            <w:tr w:rsidR="00381F58" w:rsidRPr="00381F58" w14:paraId="632A542E" w14:textId="77777777" w:rsidTr="008A44E0">
              <w:trPr>
                <w:jc w:val="center"/>
              </w:trPr>
              <w:tc>
                <w:tcPr>
                  <w:tcW w:w="1345" w:type="dxa"/>
                  <w:tcBorders>
                    <w:top w:val="single" w:sz="4" w:space="0" w:color="auto"/>
                    <w:left w:val="single" w:sz="4" w:space="0" w:color="auto"/>
                    <w:bottom w:val="single" w:sz="4" w:space="0" w:color="auto"/>
                    <w:right w:val="single" w:sz="4" w:space="0" w:color="auto"/>
                  </w:tcBorders>
                </w:tcPr>
                <w:p w14:paraId="7E0774F6"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zh-CN"/>
                    </w:rPr>
                  </w:pPr>
                  <w:r w:rsidRPr="00381F58">
                    <w:rPr>
                      <w:rFonts w:ascii="Arial" w:eastAsia="Times New Roman" w:hAnsi="Arial" w:cs="Times New Roman"/>
                      <w:kern w:val="0"/>
                      <w:sz w:val="18"/>
                      <w:szCs w:val="20"/>
                      <w:lang w:val="en-GB"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7F1EFF05"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zh-CN"/>
                    </w:rPr>
                  </w:pPr>
                  <w:r w:rsidRPr="00381F58">
                    <w:rPr>
                      <w:rFonts w:ascii="Arial" w:eastAsia="Times New Roman" w:hAnsi="Arial" w:cs="Times New Roman"/>
                      <w:kern w:val="0"/>
                      <w:sz w:val="18"/>
                      <w:szCs w:val="20"/>
                      <w:lang w:val="en-GB"/>
                    </w:rPr>
                    <w:t>P-MPR_02</w:t>
                  </w:r>
                </w:p>
              </w:tc>
            </w:tr>
            <w:tr w:rsidR="00381F58" w:rsidRPr="00381F58" w14:paraId="1DBC7471" w14:textId="77777777" w:rsidTr="008A44E0">
              <w:trPr>
                <w:jc w:val="center"/>
              </w:trPr>
              <w:tc>
                <w:tcPr>
                  <w:tcW w:w="1345" w:type="dxa"/>
                  <w:tcBorders>
                    <w:top w:val="single" w:sz="4" w:space="0" w:color="auto"/>
                    <w:left w:val="single" w:sz="4" w:space="0" w:color="auto"/>
                    <w:bottom w:val="single" w:sz="4" w:space="0" w:color="auto"/>
                    <w:right w:val="single" w:sz="4" w:space="0" w:color="auto"/>
                  </w:tcBorders>
                </w:tcPr>
                <w:p w14:paraId="69EC622B"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zh-CN"/>
                    </w:rPr>
                  </w:pPr>
                  <w:r w:rsidRPr="00381F58">
                    <w:rPr>
                      <w:rFonts w:ascii="Arial" w:eastAsia="Times New Roman" w:hAnsi="Arial" w:cs="Times New Roman"/>
                      <w:kern w:val="0"/>
                      <w:sz w:val="18"/>
                      <w:szCs w:val="20"/>
                      <w:lang w:val="en-GB"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2C7EF652" w14:textId="77777777" w:rsidR="00381F58" w:rsidRPr="00381F58" w:rsidRDefault="00381F58" w:rsidP="00381F58">
                  <w:pPr>
                    <w:keepNext/>
                    <w:keepLines/>
                    <w:widowControl/>
                    <w:wordWrap/>
                    <w:overflowPunct w:val="0"/>
                    <w:adjustRightInd w:val="0"/>
                    <w:spacing w:after="0" w:line="240" w:lineRule="auto"/>
                    <w:jc w:val="center"/>
                    <w:textAlignment w:val="baseline"/>
                    <w:rPr>
                      <w:rFonts w:ascii="Arial" w:eastAsia="Times New Roman" w:hAnsi="Arial" w:cs="Times New Roman"/>
                      <w:kern w:val="0"/>
                      <w:sz w:val="18"/>
                      <w:szCs w:val="20"/>
                      <w:lang w:val="en-GB" w:eastAsia="zh-CN"/>
                    </w:rPr>
                  </w:pPr>
                  <w:r w:rsidRPr="00381F58">
                    <w:rPr>
                      <w:rFonts w:ascii="Arial" w:eastAsia="Times New Roman" w:hAnsi="Arial" w:cs="Times New Roman"/>
                      <w:kern w:val="0"/>
                      <w:sz w:val="18"/>
                      <w:szCs w:val="20"/>
                      <w:lang w:val="en-GB"/>
                    </w:rPr>
                    <w:t>P-MPR_03</w:t>
                  </w:r>
                </w:p>
              </w:tc>
            </w:tr>
          </w:tbl>
          <w:p w14:paraId="4CFA75AC" w14:textId="77777777" w:rsidR="00381F58" w:rsidRDefault="00381F58" w:rsidP="00E608A3">
            <w:pPr>
              <w:pStyle w:val="LGTdoc1"/>
              <w:snapToGrid/>
              <w:spacing w:beforeLines="0" w:before="100" w:beforeAutospacing="1" w:line="360" w:lineRule="auto"/>
              <w:contextualSpacing/>
              <w:rPr>
                <w:b w:val="0"/>
                <w:sz w:val="22"/>
                <w:lang w:val="en-US"/>
              </w:rPr>
            </w:pPr>
          </w:p>
        </w:tc>
      </w:tr>
    </w:tbl>
    <w:p w14:paraId="5C7974FF" w14:textId="006E7560" w:rsidR="008C7408" w:rsidRPr="008C7408" w:rsidRDefault="008C7408" w:rsidP="00381F58">
      <w:pPr>
        <w:pStyle w:val="B1"/>
        <w:ind w:left="0" w:firstLine="0"/>
      </w:pPr>
    </w:p>
    <w:p w14:paraId="59C97149" w14:textId="25C60E9B" w:rsidR="00A04DCC" w:rsidRDefault="00A04DCC" w:rsidP="00827808">
      <w:pPr>
        <w:pStyle w:val="LGTdoc1"/>
        <w:snapToGrid/>
        <w:spacing w:beforeLines="0" w:before="100" w:beforeAutospacing="1" w:line="360" w:lineRule="auto"/>
        <w:contextualSpacing/>
        <w:rPr>
          <w:b w:val="0"/>
          <w:sz w:val="22"/>
          <w:lang w:val="en-US"/>
        </w:rPr>
      </w:pPr>
      <w:r>
        <w:rPr>
          <w:rFonts w:hint="eastAsia"/>
          <w:b w:val="0"/>
          <w:sz w:val="22"/>
          <w:lang w:val="en-US"/>
        </w:rPr>
        <w:t>T</w:t>
      </w:r>
      <w:r>
        <w:rPr>
          <w:b w:val="0"/>
          <w:sz w:val="22"/>
          <w:lang w:val="en-US"/>
        </w:rPr>
        <w:t>h</w:t>
      </w:r>
      <w:r>
        <w:rPr>
          <w:rFonts w:hint="eastAsia"/>
          <w:b w:val="0"/>
          <w:sz w:val="22"/>
          <w:lang w:val="en-US"/>
        </w:rPr>
        <w:t xml:space="preserve">e </w:t>
      </w:r>
      <w:r>
        <w:rPr>
          <w:b w:val="0"/>
          <w:sz w:val="22"/>
          <w:lang w:val="en-US"/>
        </w:rPr>
        <w:t>agree</w:t>
      </w:r>
      <w:r w:rsidR="0032063A">
        <w:rPr>
          <w:b w:val="0"/>
          <w:sz w:val="22"/>
          <w:lang w:val="en-US"/>
        </w:rPr>
        <w:t>ments</w:t>
      </w:r>
      <w:r>
        <w:rPr>
          <w:b w:val="0"/>
          <w:sz w:val="22"/>
          <w:lang w:val="en-US"/>
        </w:rPr>
        <w:t xml:space="preserve"> </w:t>
      </w:r>
      <w:r w:rsidR="0032063A">
        <w:rPr>
          <w:b w:val="0"/>
          <w:sz w:val="22"/>
          <w:lang w:val="en-US"/>
        </w:rPr>
        <w:t xml:space="preserve">for MPE mitigation is </w:t>
      </w:r>
      <w:r>
        <w:rPr>
          <w:b w:val="0"/>
          <w:sz w:val="22"/>
          <w:lang w:val="en-US"/>
        </w:rPr>
        <w:t xml:space="preserve">to </w:t>
      </w:r>
      <w:r w:rsidR="0032063A">
        <w:rPr>
          <w:b w:val="0"/>
          <w:sz w:val="22"/>
          <w:lang w:val="en-US"/>
        </w:rPr>
        <w:t>extend to N (</w:t>
      </w:r>
      <w:r>
        <w:rPr>
          <w:b w:val="0"/>
          <w:sz w:val="22"/>
          <w:lang w:val="en-US"/>
        </w:rPr>
        <w:t xml:space="preserve">P-MPR </w:t>
      </w:r>
      <w:r w:rsidR="0032063A">
        <w:rPr>
          <w:b w:val="0"/>
          <w:sz w:val="22"/>
          <w:lang w:val="en-US"/>
        </w:rPr>
        <w:t>+ CRI/SSBRI) values. To our understanding, this extension is mainly for MP-UE where each panel can have different preferred beam (i.e. CRI/SSBRI) and different P-MPR since MPE event can only happen to one panel but not to another panel. To support full functionality for panel-specific UL transmission, it is better to report Pc_max and PHR for each panel together with P-MPR and CRI/SSBRI because each panel can have different max power (e.g. 2</w:t>
      </w:r>
      <w:r w:rsidR="00A46CF9">
        <w:rPr>
          <w:b w:val="0"/>
          <w:sz w:val="22"/>
          <w:lang w:val="en-US"/>
        </w:rPr>
        <w:t>0dB+23dB) and/or different PHR, which would be much simpler/straight-forward from signaling extension perspective as well as from technical perspective.</w:t>
      </w:r>
    </w:p>
    <w:p w14:paraId="65645F9E" w14:textId="77777777" w:rsidR="00A46CF9" w:rsidRDefault="00A46CF9" w:rsidP="00827808">
      <w:pPr>
        <w:pStyle w:val="LGTdoc1"/>
        <w:snapToGrid/>
        <w:spacing w:beforeLines="0" w:before="100" w:beforeAutospacing="1" w:line="360" w:lineRule="auto"/>
        <w:contextualSpacing/>
        <w:rPr>
          <w:b w:val="0"/>
          <w:sz w:val="22"/>
          <w:lang w:val="en-US"/>
        </w:rPr>
      </w:pPr>
    </w:p>
    <w:p w14:paraId="6AC568A7" w14:textId="3C4DD1A5" w:rsidR="00A46CF9" w:rsidRPr="00BB6C36" w:rsidRDefault="00A46CF9" w:rsidP="00A46CF9">
      <w:pPr>
        <w:pStyle w:val="LGTdoc1"/>
        <w:snapToGrid/>
        <w:spacing w:beforeLines="0" w:before="100" w:beforeAutospacing="1" w:line="360" w:lineRule="auto"/>
        <w:contextualSpacing/>
        <w:rPr>
          <w:sz w:val="22"/>
          <w:lang w:val="en-US"/>
        </w:rPr>
      </w:pPr>
      <w:r w:rsidRPr="007E53EF">
        <w:rPr>
          <w:sz w:val="22"/>
          <w:lang w:val="en-US"/>
        </w:rPr>
        <w:t>Propose #</w:t>
      </w:r>
      <w:r w:rsidR="003A4B70">
        <w:rPr>
          <w:sz w:val="22"/>
          <w:lang w:val="en-US"/>
        </w:rPr>
        <w:t>13</w:t>
      </w:r>
      <w:r w:rsidRPr="007E53EF">
        <w:rPr>
          <w:sz w:val="22"/>
          <w:lang w:val="en-US"/>
        </w:rPr>
        <w:t>:</w:t>
      </w:r>
      <w:r>
        <w:rPr>
          <w:sz w:val="22"/>
          <w:lang w:val="en-US"/>
        </w:rPr>
        <w:t xml:space="preserve"> For the enhanced reporting for MPE mitigation,</w:t>
      </w:r>
      <w:r w:rsidRPr="007E53EF">
        <w:rPr>
          <w:sz w:val="22"/>
          <w:lang w:val="en-US"/>
        </w:rPr>
        <w:t xml:space="preserve"> </w:t>
      </w:r>
      <w:r>
        <w:rPr>
          <w:sz w:val="22"/>
          <w:lang w:val="en-US"/>
        </w:rPr>
        <w:t>s</w:t>
      </w:r>
      <w:r w:rsidRPr="007E53EF">
        <w:rPr>
          <w:sz w:val="22"/>
          <w:lang w:val="en-US"/>
        </w:rPr>
        <w:t>upport</w:t>
      </w:r>
      <w:r>
        <w:rPr>
          <w:sz w:val="22"/>
          <w:lang w:val="en-US"/>
        </w:rPr>
        <w:t xml:space="preserve"> N value sets where each set has (Pc_max, PHR, P-MPR, CRI/SSBRI).</w:t>
      </w:r>
    </w:p>
    <w:p w14:paraId="56B516C0" w14:textId="77777777" w:rsidR="00A46CF9" w:rsidRPr="00A46CF9" w:rsidRDefault="00A46CF9" w:rsidP="00827808">
      <w:pPr>
        <w:pStyle w:val="LGTdoc1"/>
        <w:snapToGrid/>
        <w:spacing w:beforeLines="0" w:before="100" w:beforeAutospacing="1" w:line="360" w:lineRule="auto"/>
        <w:contextualSpacing/>
        <w:rPr>
          <w:b w:val="0"/>
          <w:sz w:val="22"/>
          <w:lang w:val="en-US"/>
        </w:rPr>
      </w:pPr>
    </w:p>
    <w:p w14:paraId="727FF938" w14:textId="760C89B9" w:rsidR="00B41C3A" w:rsidRDefault="00B41C3A" w:rsidP="00622D5B">
      <w:pPr>
        <w:pStyle w:val="1"/>
        <w:numPr>
          <w:ilvl w:val="0"/>
          <w:numId w:val="4"/>
        </w:numPr>
      </w:pPr>
      <w:r>
        <w:t>Conclusions</w:t>
      </w:r>
    </w:p>
    <w:p w14:paraId="1303ED44" w14:textId="5ED93F5D" w:rsidR="00270B14" w:rsidRDefault="00361691" w:rsidP="00361691">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In this contribution, we </w:t>
      </w:r>
      <w:r>
        <w:rPr>
          <w:b w:val="0"/>
          <w:sz w:val="22"/>
          <w:lang w:val="en-US"/>
        </w:rPr>
        <w:t xml:space="preserve">have </w:t>
      </w:r>
      <w:r>
        <w:rPr>
          <w:b w:val="0"/>
          <w:sz w:val="22"/>
          <w:lang w:val="en-US"/>
        </w:rPr>
        <w:t>discuss</w:t>
      </w:r>
      <w:r>
        <w:rPr>
          <w:b w:val="0"/>
          <w:sz w:val="22"/>
          <w:lang w:val="en-US"/>
        </w:rPr>
        <w:t>ed</w:t>
      </w:r>
      <w:r>
        <w:rPr>
          <w:b w:val="0"/>
          <w:sz w:val="22"/>
          <w:lang w:val="en-US"/>
        </w:rPr>
        <w:t xml:space="preserve"> </w:t>
      </w:r>
      <w:r>
        <w:rPr>
          <w:b w:val="0"/>
          <w:sz w:val="22"/>
          <w:lang w:val="en-US"/>
        </w:rPr>
        <w:t>the remaining issues for further enhancements on MB operation</w:t>
      </w:r>
      <w:r>
        <w:rPr>
          <w:b w:val="0"/>
          <w:sz w:val="22"/>
          <w:lang w:val="en-US"/>
        </w:rPr>
        <w:t>.</w:t>
      </w:r>
      <w:r>
        <w:rPr>
          <w:b w:val="0"/>
          <w:sz w:val="22"/>
          <w:lang w:val="en-US"/>
        </w:rPr>
        <w:t xml:space="preserve"> Based on the discussions above, the following observations and proposals are given as:</w:t>
      </w:r>
    </w:p>
    <w:p w14:paraId="5F51C401" w14:textId="77777777" w:rsidR="00361691" w:rsidRPr="00361691" w:rsidRDefault="00361691" w:rsidP="00361691">
      <w:pPr>
        <w:pStyle w:val="LGTdoc1"/>
        <w:snapToGrid/>
        <w:spacing w:beforeLines="0" w:before="100" w:beforeAutospacing="1" w:line="360" w:lineRule="auto"/>
        <w:ind w:firstLineChars="146" w:firstLine="321"/>
        <w:contextualSpacing/>
        <w:rPr>
          <w:b w:val="0"/>
          <w:sz w:val="22"/>
          <w:lang w:val="en-US"/>
        </w:rPr>
      </w:pPr>
    </w:p>
    <w:p w14:paraId="68B46290" w14:textId="77777777" w:rsidR="00F37C7A" w:rsidRDefault="00F37C7A" w:rsidP="00F37C7A">
      <w:pPr>
        <w:pStyle w:val="LGTdoc1"/>
        <w:snapToGrid/>
        <w:spacing w:line="360" w:lineRule="auto"/>
        <w:contextualSpacing/>
        <w:rPr>
          <w:sz w:val="22"/>
          <w:lang w:val="en-US"/>
        </w:rPr>
      </w:pPr>
      <w:r>
        <w:rPr>
          <w:sz w:val="22"/>
          <w:lang w:val="en-US"/>
        </w:rPr>
        <w:t>Observation #1: Acknowledgement to the reported correspondence is necessary only when the reported correspondence is changed compared to the previous reporting and can be replaced by a signaling regarding NW ‘action’ to address the UE panel change.</w:t>
      </w:r>
    </w:p>
    <w:p w14:paraId="6B36120A" w14:textId="77777777" w:rsidR="00F37C7A" w:rsidRDefault="00F37C7A" w:rsidP="00F37C7A">
      <w:pPr>
        <w:pStyle w:val="LGTdoc1"/>
        <w:snapToGrid/>
        <w:spacing w:line="360" w:lineRule="auto"/>
        <w:contextualSpacing/>
        <w:rPr>
          <w:sz w:val="22"/>
          <w:lang w:val="en-US"/>
        </w:rPr>
      </w:pPr>
      <w:r>
        <w:rPr>
          <w:sz w:val="22"/>
          <w:lang w:val="en-US"/>
        </w:rPr>
        <w:t xml:space="preserve">Observation #2: If the agreed reporting is used for UL purpose only, additional reporting is required for DL TCI determination, e.g. based on Rel-15/16 beam reporting, causing extra signaling overhead. </w:t>
      </w:r>
    </w:p>
    <w:p w14:paraId="19454F24" w14:textId="77777777" w:rsidR="00361691" w:rsidRDefault="00361691" w:rsidP="00F37C7A">
      <w:pPr>
        <w:pStyle w:val="LGTdoc1"/>
        <w:snapToGrid/>
        <w:spacing w:line="360" w:lineRule="auto"/>
        <w:contextualSpacing/>
        <w:rPr>
          <w:sz w:val="22"/>
          <w:lang w:val="en-US"/>
        </w:rPr>
      </w:pPr>
    </w:p>
    <w:p w14:paraId="1BAD5837" w14:textId="77777777" w:rsidR="00F37C7A" w:rsidRDefault="00F37C7A" w:rsidP="00F37C7A">
      <w:pPr>
        <w:pStyle w:val="LGTdoc1"/>
        <w:snapToGrid/>
        <w:spacing w:after="0" w:afterAutospacing="0" w:line="360" w:lineRule="auto"/>
        <w:contextualSpacing/>
        <w:rPr>
          <w:rFonts w:hint="eastAsia"/>
          <w:sz w:val="22"/>
          <w:lang w:val="en-US"/>
        </w:rPr>
      </w:pPr>
      <w:r>
        <w:rPr>
          <w:sz w:val="22"/>
          <w:lang w:val="en-US"/>
        </w:rPr>
        <w:t xml:space="preserve">Proposal #1: Confirm the working assumption with the following refinement (highlighted in </w:t>
      </w:r>
      <w:r>
        <w:rPr>
          <w:color w:val="FF0000"/>
          <w:sz w:val="22"/>
          <w:lang w:val="en-US"/>
        </w:rPr>
        <w:t>red</w:t>
      </w:r>
      <w:r>
        <w:rPr>
          <w:sz w:val="22"/>
          <w:lang w:val="en-US"/>
        </w:rPr>
        <w:t>):</w:t>
      </w:r>
    </w:p>
    <w:p w14:paraId="641DF6DE" w14:textId="77777777" w:rsidR="00F37C7A" w:rsidRDefault="00F37C7A" w:rsidP="00F37C7A">
      <w:pPr>
        <w:snapToGrid w:val="0"/>
        <w:spacing w:after="0" w:line="240" w:lineRule="auto"/>
        <w:rPr>
          <w:rFonts w:ascii="Times New Roman" w:eastAsia="바탕" w:hAnsi="Times New Roman" w:cs="Times New Roman"/>
          <w:kern w:val="0"/>
          <w:szCs w:val="20"/>
          <w:lang w:val="en-GB"/>
        </w:rPr>
      </w:pPr>
      <w:r>
        <w:rPr>
          <w:rFonts w:ascii="Times New Roman" w:eastAsia="바탕" w:hAnsi="Times New Roman" w:cs="Times New Roman"/>
          <w:kern w:val="0"/>
          <w:szCs w:val="20"/>
          <w:lang w:val="en-GB"/>
        </w:rPr>
        <w:t>The UE is not expected to be configured with Rel-15/Rel-16 TCI/SpatialRelationInfo/</w:t>
      </w:r>
      <w:r>
        <w:rPr>
          <w:rFonts w:ascii="Times New Roman" w:eastAsia="바탕" w:hAnsi="Times New Roman" w:cs="Times New Roman"/>
          <w:i/>
          <w:color w:val="FF0000"/>
          <w:kern w:val="0"/>
          <w:szCs w:val="20"/>
          <w:lang w:val="en-GB"/>
        </w:rPr>
        <w:t>PUCCH-SpatialRelationInfo</w:t>
      </w:r>
      <w:r>
        <w:rPr>
          <w:rFonts w:ascii="Times New Roman" w:eastAsia="바탕" w:hAnsi="Times New Roman" w:cs="Times New Roman"/>
          <w:color w:val="FF0000"/>
          <w:kern w:val="0"/>
          <w:szCs w:val="20"/>
          <w:lang w:val="en-GB"/>
        </w:rPr>
        <w:t xml:space="preserve"> (except </w:t>
      </w:r>
      <w:r>
        <w:rPr>
          <w:rFonts w:ascii="Times New Roman" w:eastAsia="바탕" w:hAnsi="Times New Roman" w:cs="Times New Roman"/>
          <w:i/>
          <w:color w:val="FF0000"/>
          <w:kern w:val="0"/>
          <w:szCs w:val="20"/>
          <w:lang w:val="en-GB"/>
        </w:rPr>
        <w:t>spatialRelationInfoPos</w:t>
      </w:r>
      <w:r>
        <w:rPr>
          <w:rFonts w:ascii="Times New Roman" w:eastAsia="바탕" w:hAnsi="Times New Roman" w:cs="Times New Roman"/>
          <w:color w:val="FF0000"/>
          <w:kern w:val="0"/>
          <w:szCs w:val="20"/>
          <w:lang w:val="en-GB"/>
        </w:rPr>
        <w:t>)</w:t>
      </w:r>
      <w:r>
        <w:rPr>
          <w:rFonts w:ascii="Times New Roman" w:eastAsia="바탕" w:hAnsi="Times New Roman" w:cs="Times New Roman"/>
          <w:kern w:val="0"/>
          <w:szCs w:val="20"/>
          <w:lang w:val="en-GB"/>
        </w:rPr>
        <w:t xml:space="preserve"> if the UE is configured with Rel-17 TCI in any CC in a band</w:t>
      </w:r>
    </w:p>
    <w:p w14:paraId="6C948806" w14:textId="77777777" w:rsidR="00F37C7A" w:rsidRDefault="00F37C7A" w:rsidP="00F37C7A">
      <w:pPr>
        <w:pStyle w:val="a6"/>
        <w:widowControl/>
        <w:numPr>
          <w:ilvl w:val="0"/>
          <w:numId w:val="25"/>
        </w:numPr>
        <w:wordWrap/>
        <w:autoSpaceDE/>
        <w:snapToGrid w:val="0"/>
        <w:spacing w:after="0" w:line="240" w:lineRule="auto"/>
        <w:ind w:leftChars="0"/>
        <w:contextualSpacing/>
        <w:rPr>
          <w:rFonts w:ascii="Times New Roman" w:eastAsia="바탕" w:hAnsi="Times New Roman" w:cs="Times New Roman"/>
          <w:color w:val="FF0000"/>
          <w:kern w:val="0"/>
          <w:szCs w:val="20"/>
          <w:lang w:val="en-GB"/>
        </w:rPr>
      </w:pPr>
      <w:r>
        <w:rPr>
          <w:rFonts w:ascii="Times New Roman" w:eastAsia="바탕" w:hAnsi="Times New Roman" w:cs="Times New Roman"/>
          <w:kern w:val="0"/>
          <w:szCs w:val="20"/>
          <w:lang w:val="en-GB"/>
        </w:rPr>
        <w:t>The CC list for Rel-16 multi-CC beam indication should not contain any CC configured with Rel-17 TCI</w:t>
      </w:r>
      <w:r>
        <w:rPr>
          <w:rFonts w:ascii="Times New Roman" w:eastAsia="바탕" w:hAnsi="Times New Roman" w:cs="Times New Roman"/>
          <w:color w:val="FF0000"/>
          <w:kern w:val="0"/>
          <w:szCs w:val="20"/>
          <w:lang w:val="en-GB"/>
        </w:rPr>
        <w:t xml:space="preserve"> assuming different CC lists are used for Rel-16 and Rel-17</w:t>
      </w:r>
    </w:p>
    <w:p w14:paraId="1933452B" w14:textId="77777777" w:rsidR="00F37C7A" w:rsidRDefault="00F37C7A" w:rsidP="00F37C7A">
      <w:pPr>
        <w:pStyle w:val="LGTdoc1"/>
        <w:snapToGrid/>
        <w:spacing w:line="360" w:lineRule="auto"/>
        <w:contextualSpacing/>
        <w:rPr>
          <w:sz w:val="22"/>
          <w:lang w:val="en-US"/>
        </w:rPr>
      </w:pPr>
      <w:r>
        <w:rPr>
          <w:sz w:val="22"/>
          <w:lang w:val="en-US"/>
        </w:rPr>
        <w:t>Proposal #2: For CORESET C, the same principle as CORESET B can be applied, i.e. whether or not UE to apply the indicated Rel-17 TCI state associated with the serving cell is determined per CORESET by RRC.</w:t>
      </w:r>
    </w:p>
    <w:p w14:paraId="5EF1472E" w14:textId="77777777" w:rsidR="00F37C7A" w:rsidRDefault="00F37C7A" w:rsidP="00F37C7A">
      <w:pPr>
        <w:pStyle w:val="LGTdoc1"/>
        <w:snapToGrid/>
        <w:spacing w:line="360" w:lineRule="auto"/>
        <w:contextualSpacing/>
        <w:rPr>
          <w:sz w:val="22"/>
          <w:lang w:val="en-US"/>
        </w:rPr>
      </w:pPr>
      <w:r>
        <w:rPr>
          <w:sz w:val="22"/>
          <w:lang w:val="en-US"/>
        </w:rPr>
        <w:t xml:space="preserve">Proposal #3: Consider to support configuring </w:t>
      </w:r>
      <w:r>
        <w:rPr>
          <w:i/>
          <w:sz w:val="22"/>
          <w:lang w:val="en-US"/>
        </w:rPr>
        <w:t>followUnifiedTCI-State</w:t>
      </w:r>
      <w:r>
        <w:rPr>
          <w:sz w:val="22"/>
          <w:lang w:val="en-US"/>
        </w:rPr>
        <w:t xml:space="preserve"> to every individual CORESETS, and rely on NW implementation to address different scenarios such as inter-cell, intra-cell, non-UE-dedicated and UE-dedicated transmissions.</w:t>
      </w:r>
    </w:p>
    <w:p w14:paraId="69449144" w14:textId="77777777" w:rsidR="00F37C7A" w:rsidRDefault="00F37C7A" w:rsidP="00F37C7A">
      <w:pPr>
        <w:pStyle w:val="LGTdoc1"/>
        <w:snapToGrid/>
        <w:spacing w:line="360" w:lineRule="auto"/>
        <w:contextualSpacing/>
        <w:rPr>
          <w:sz w:val="22"/>
          <w:lang w:val="en-US"/>
        </w:rPr>
      </w:pPr>
      <w:r>
        <w:rPr>
          <w:sz w:val="22"/>
          <w:lang w:val="en-US"/>
        </w:rPr>
        <w:t>Proposal #4: It should be clarified whether the common beam update is supported for CORESET(s) in a BWP configured with multiple CORESET pool indices.</w:t>
      </w:r>
    </w:p>
    <w:p w14:paraId="0685CA94" w14:textId="77777777" w:rsidR="00F37C7A" w:rsidRDefault="00F37C7A" w:rsidP="00F37C7A">
      <w:pPr>
        <w:pStyle w:val="LGTdoc1"/>
        <w:snapToGrid/>
        <w:spacing w:line="360" w:lineRule="auto"/>
        <w:contextualSpacing/>
        <w:rPr>
          <w:sz w:val="22"/>
          <w:lang w:val="en-US"/>
        </w:rPr>
      </w:pPr>
      <w:r>
        <w:rPr>
          <w:sz w:val="22"/>
          <w:lang w:val="en-US"/>
        </w:rPr>
        <w:t>Proposal #5: Clarify power control behavior for common TCI state ID update/activation for CA case, and adopt the following change for Rel-17 multi-beam enhancement.</w:t>
      </w:r>
    </w:p>
    <w:p w14:paraId="55B94051" w14:textId="77777777" w:rsidR="00F37C7A" w:rsidRDefault="00F37C7A" w:rsidP="00F37C7A">
      <w:pPr>
        <w:pStyle w:val="LGTdoc1"/>
        <w:snapToGrid/>
        <w:spacing w:line="360" w:lineRule="auto"/>
        <w:contextualSpacing/>
        <w:rPr>
          <w:sz w:val="22"/>
          <w:lang w:val="en-US"/>
        </w:rPr>
      </w:pPr>
      <w:r>
        <w:rPr>
          <w:sz w:val="22"/>
          <w:lang w:val="en-US"/>
        </w:rPr>
        <w:lastRenderedPageBreak/>
        <w:t xml:space="preserve">Proposal #6: Support a second configured BAT for MP-UE. </w:t>
      </w:r>
    </w:p>
    <w:p w14:paraId="3EE5583D" w14:textId="77777777" w:rsidR="00F37C7A" w:rsidRDefault="00F37C7A" w:rsidP="00F37C7A">
      <w:pPr>
        <w:pStyle w:val="LGTdoc1"/>
        <w:snapToGrid/>
        <w:spacing w:line="360" w:lineRule="auto"/>
        <w:contextualSpacing/>
        <w:rPr>
          <w:sz w:val="22"/>
          <w:lang w:val="en-US"/>
        </w:rPr>
      </w:pPr>
      <w:r>
        <w:rPr>
          <w:sz w:val="22"/>
          <w:lang w:val="en-US"/>
        </w:rPr>
        <w:t>Proposal #7: Support to introduce new RRC parameter(s) to configure the CC list for common TCI state ID update</w:t>
      </w:r>
    </w:p>
    <w:p w14:paraId="7F76FCD0" w14:textId="77777777" w:rsidR="00F37C7A" w:rsidRDefault="00F37C7A" w:rsidP="00F37C7A">
      <w:pPr>
        <w:pStyle w:val="LGTdoc1"/>
        <w:snapToGrid/>
        <w:spacing w:line="360" w:lineRule="auto"/>
        <w:contextualSpacing/>
        <w:rPr>
          <w:sz w:val="22"/>
          <w:lang w:val="en-US"/>
        </w:rPr>
      </w:pPr>
      <w:r>
        <w:rPr>
          <w:sz w:val="22"/>
          <w:lang w:val="en-US"/>
        </w:rPr>
        <w:t>Proposal #8: Support that BAT is configured per-CC.</w:t>
      </w:r>
    </w:p>
    <w:p w14:paraId="12CDC3E8" w14:textId="77777777" w:rsidR="00F37C7A" w:rsidRDefault="00F37C7A" w:rsidP="00F37C7A">
      <w:pPr>
        <w:pStyle w:val="LGTdoc1"/>
        <w:snapToGrid/>
        <w:spacing w:line="360" w:lineRule="auto"/>
        <w:contextualSpacing/>
        <w:rPr>
          <w:sz w:val="22"/>
          <w:lang w:val="en-US"/>
        </w:rPr>
      </w:pPr>
      <w:r>
        <w:rPr>
          <w:sz w:val="22"/>
          <w:lang w:val="en-US"/>
        </w:rPr>
        <w:t>Proposal #9. Support Option2 for the enhanced beam reporting format for MP-UE.</w:t>
      </w:r>
    </w:p>
    <w:p w14:paraId="7AE156FF" w14:textId="77777777" w:rsidR="00F37C7A" w:rsidRDefault="00F37C7A" w:rsidP="00F37C7A">
      <w:pPr>
        <w:pStyle w:val="LGTdoc1"/>
        <w:snapToGrid/>
        <w:spacing w:line="360" w:lineRule="auto"/>
        <w:contextualSpacing/>
        <w:rPr>
          <w:sz w:val="22"/>
          <w:lang w:val="en-US"/>
        </w:rPr>
      </w:pPr>
      <w:r>
        <w:rPr>
          <w:sz w:val="22"/>
          <w:lang w:val="en-US"/>
        </w:rPr>
        <w:t>Proposal #10: how to update the number of SRS ports should be decided</w:t>
      </w:r>
    </w:p>
    <w:p w14:paraId="31D36BEC" w14:textId="77777777" w:rsidR="00F37C7A" w:rsidRDefault="00F37C7A" w:rsidP="00F37C7A">
      <w:pPr>
        <w:pStyle w:val="LGTdoc1"/>
        <w:numPr>
          <w:ilvl w:val="0"/>
          <w:numId w:val="26"/>
        </w:numPr>
        <w:snapToGrid/>
        <w:spacing w:afterAutospacing="0" w:line="360" w:lineRule="auto"/>
        <w:contextualSpacing/>
        <w:rPr>
          <w:sz w:val="22"/>
          <w:lang w:val="en-US"/>
        </w:rPr>
      </w:pPr>
      <w:r>
        <w:rPr>
          <w:sz w:val="22"/>
          <w:lang w:val="en-US"/>
        </w:rPr>
        <w:t>Alt1. via UL BWP switching where each UL BWP has different number of SRS ports</w:t>
      </w:r>
    </w:p>
    <w:p w14:paraId="16E01D2B" w14:textId="77777777" w:rsidR="00F37C7A" w:rsidRDefault="00F37C7A" w:rsidP="00F37C7A">
      <w:pPr>
        <w:pStyle w:val="LGTdoc1"/>
        <w:numPr>
          <w:ilvl w:val="1"/>
          <w:numId w:val="26"/>
        </w:numPr>
        <w:snapToGrid/>
        <w:spacing w:afterAutospacing="0" w:line="360" w:lineRule="auto"/>
        <w:contextualSpacing/>
        <w:rPr>
          <w:sz w:val="22"/>
          <w:lang w:val="en-US"/>
        </w:rPr>
      </w:pPr>
      <w:r>
        <w:rPr>
          <w:sz w:val="22"/>
          <w:lang w:val="en-US"/>
        </w:rPr>
        <w:t>For this alt, it needs to be clarified how to handle BWP fallback mechanism which would let NW to control UE panel, i.e. switch to a specific UE panel or panel type when timer expires.</w:t>
      </w:r>
    </w:p>
    <w:p w14:paraId="2ECBCBB2" w14:textId="77777777" w:rsidR="00F37C7A" w:rsidRDefault="00F37C7A" w:rsidP="00F37C7A">
      <w:pPr>
        <w:pStyle w:val="LGTdoc1"/>
        <w:numPr>
          <w:ilvl w:val="0"/>
          <w:numId w:val="26"/>
        </w:numPr>
        <w:snapToGrid/>
        <w:spacing w:afterAutospacing="0" w:line="360" w:lineRule="auto"/>
        <w:contextualSpacing/>
        <w:rPr>
          <w:sz w:val="22"/>
          <w:lang w:val="en-US"/>
        </w:rPr>
      </w:pPr>
      <w:r>
        <w:rPr>
          <w:sz w:val="22"/>
          <w:lang w:val="en-US"/>
        </w:rPr>
        <w:t>Alt2. via SRS resource set selection by DCI where each set has different number of ports</w:t>
      </w:r>
    </w:p>
    <w:p w14:paraId="5B5233AB" w14:textId="77777777" w:rsidR="00F37C7A" w:rsidRDefault="00F37C7A" w:rsidP="00F37C7A">
      <w:pPr>
        <w:pStyle w:val="LGTdoc1"/>
        <w:numPr>
          <w:ilvl w:val="1"/>
          <w:numId w:val="26"/>
        </w:numPr>
        <w:snapToGrid/>
        <w:spacing w:afterAutospacing="0" w:line="360" w:lineRule="auto"/>
        <w:contextualSpacing/>
        <w:rPr>
          <w:sz w:val="22"/>
          <w:lang w:val="en-US"/>
        </w:rPr>
      </w:pPr>
      <w:r>
        <w:rPr>
          <w:sz w:val="22"/>
          <w:lang w:val="en-US"/>
        </w:rPr>
        <w:t>Note1: ‘SRS resource set indicator’ is already specified in DCI format 0_1/0_2 and it provides functionality to select one SRS resource set by the DCI between two SRS resource sets configured by RRC</w:t>
      </w:r>
    </w:p>
    <w:p w14:paraId="7B951650" w14:textId="77777777" w:rsidR="00F37C7A" w:rsidRDefault="00F37C7A" w:rsidP="00F37C7A">
      <w:pPr>
        <w:pStyle w:val="LGTdoc1"/>
        <w:numPr>
          <w:ilvl w:val="1"/>
          <w:numId w:val="26"/>
        </w:numPr>
        <w:snapToGrid/>
        <w:spacing w:afterAutospacing="0" w:line="360" w:lineRule="auto"/>
        <w:contextualSpacing/>
        <w:rPr>
          <w:sz w:val="22"/>
          <w:lang w:val="en-US"/>
        </w:rPr>
      </w:pPr>
      <w:r>
        <w:rPr>
          <w:sz w:val="22"/>
          <w:lang w:val="en-US"/>
        </w:rPr>
        <w:t xml:space="preserve">Note2: TPMI/TRI mapping for varying number of SRS ports is already specified for </w:t>
      </w:r>
      <w:r>
        <w:rPr>
          <w:i/>
          <w:sz w:val="22"/>
          <w:lang w:val="en-US"/>
        </w:rPr>
        <w:t>fullpowerMode2</w:t>
      </w:r>
      <w:r>
        <w:rPr>
          <w:sz w:val="22"/>
          <w:lang w:val="en-US"/>
        </w:rPr>
        <w:t>.</w:t>
      </w:r>
    </w:p>
    <w:p w14:paraId="2185EA2F" w14:textId="77777777" w:rsidR="00F37C7A" w:rsidRDefault="00F37C7A" w:rsidP="00F37C7A">
      <w:pPr>
        <w:pStyle w:val="LGTdoc1"/>
        <w:snapToGrid/>
        <w:spacing w:line="360" w:lineRule="auto"/>
        <w:contextualSpacing/>
        <w:rPr>
          <w:sz w:val="22"/>
          <w:lang w:val="en-US"/>
        </w:rPr>
      </w:pPr>
      <w:r>
        <w:rPr>
          <w:sz w:val="22"/>
          <w:lang w:val="en-US"/>
        </w:rPr>
        <w:t>Proposal #11. TCI indication signaling and SRS resource set indication (or BWP switching command) can be reused as the acknowledgement to the reported correspondence from NW to UE.</w:t>
      </w:r>
    </w:p>
    <w:p w14:paraId="2975CEF0" w14:textId="77777777" w:rsidR="00F37C7A" w:rsidRDefault="00F37C7A" w:rsidP="00F37C7A">
      <w:pPr>
        <w:pStyle w:val="LGTdoc1"/>
        <w:numPr>
          <w:ilvl w:val="0"/>
          <w:numId w:val="26"/>
        </w:numPr>
        <w:snapToGrid/>
        <w:spacing w:afterAutospacing="0" w:line="360" w:lineRule="auto"/>
        <w:contextualSpacing/>
        <w:rPr>
          <w:sz w:val="22"/>
          <w:lang w:val="en-US"/>
        </w:rPr>
      </w:pPr>
      <w:r>
        <w:rPr>
          <w:sz w:val="22"/>
          <w:lang w:val="en-US"/>
        </w:rPr>
        <w:t>Further clarify that which UE capability value set index is to be activated when UE reported multiple UE capability value set indices for multiple CRIs/SSBRIs</w:t>
      </w:r>
    </w:p>
    <w:p w14:paraId="27909A11" w14:textId="77777777" w:rsidR="00F37C7A" w:rsidRDefault="00F37C7A" w:rsidP="00F37C7A">
      <w:pPr>
        <w:pStyle w:val="LGTdoc1"/>
        <w:snapToGrid/>
        <w:spacing w:line="360" w:lineRule="auto"/>
        <w:contextualSpacing/>
        <w:rPr>
          <w:sz w:val="22"/>
          <w:lang w:val="en-US"/>
        </w:rPr>
      </w:pPr>
      <w:r>
        <w:rPr>
          <w:sz w:val="22"/>
          <w:lang w:val="en-US"/>
        </w:rPr>
        <w:t xml:space="preserve">Propose #12: Support a candidate value of 0 for the max supported number of SRS ports in UE capability value set for UE to indicate that it has DL only panel(s) or not. </w:t>
      </w:r>
    </w:p>
    <w:p w14:paraId="71733F96" w14:textId="77777777" w:rsidR="00F37C7A" w:rsidRDefault="00F37C7A" w:rsidP="00F37C7A">
      <w:pPr>
        <w:pStyle w:val="LGTdoc1"/>
        <w:snapToGrid/>
        <w:spacing w:line="360" w:lineRule="auto"/>
        <w:contextualSpacing/>
        <w:rPr>
          <w:sz w:val="22"/>
          <w:lang w:val="en-US"/>
        </w:rPr>
      </w:pPr>
      <w:r>
        <w:rPr>
          <w:sz w:val="22"/>
          <w:lang w:val="en-US"/>
        </w:rPr>
        <w:t>Propose #13: For the enhanced reporting for MPE mitigation, support N value sets where each set has (Pc_max, PHR, P-MPR, CRI/SSBRI).</w:t>
      </w:r>
    </w:p>
    <w:p w14:paraId="294E5F51" w14:textId="060C9440" w:rsidR="000152CC" w:rsidRPr="00C502C0" w:rsidRDefault="000152CC" w:rsidP="001F26FE">
      <w:pPr>
        <w:pStyle w:val="LGTdoc1"/>
        <w:snapToGrid/>
        <w:spacing w:beforeLines="0" w:before="100" w:beforeAutospacing="1"/>
        <w:contextualSpacing/>
        <w:rPr>
          <w:b w:val="0"/>
          <w:sz w:val="20"/>
          <w:lang w:val="en-US"/>
        </w:rPr>
      </w:pPr>
      <w:bookmarkStart w:id="21" w:name="_GoBack"/>
      <w:bookmarkEnd w:id="21"/>
    </w:p>
    <w:sectPr w:rsidR="000152CC" w:rsidRPr="00C502C0"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8314D" w14:textId="77777777" w:rsidR="00273488" w:rsidRDefault="00273488" w:rsidP="00D30654">
      <w:pPr>
        <w:spacing w:after="0" w:line="240" w:lineRule="auto"/>
      </w:pPr>
      <w:r>
        <w:separator/>
      </w:r>
    </w:p>
  </w:endnote>
  <w:endnote w:type="continuationSeparator" w:id="0">
    <w:p w14:paraId="19C6EEAD" w14:textId="77777777" w:rsidR="00273488" w:rsidRDefault="00273488"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9E049" w14:textId="77777777" w:rsidR="00273488" w:rsidRDefault="00273488" w:rsidP="00D30654">
      <w:pPr>
        <w:spacing w:after="0" w:line="240" w:lineRule="auto"/>
      </w:pPr>
      <w:r>
        <w:separator/>
      </w:r>
    </w:p>
  </w:footnote>
  <w:footnote w:type="continuationSeparator" w:id="0">
    <w:p w14:paraId="5DB03E67" w14:textId="77777777" w:rsidR="00273488" w:rsidRDefault="00273488"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878107C"/>
    <w:multiLevelType w:val="hybridMultilevel"/>
    <w:tmpl w:val="C9BE2904"/>
    <w:lvl w:ilvl="0" w:tplc="249A72FC">
      <w:start w:val="1"/>
      <w:numFmt w:val="decimal"/>
      <w:lvlText w:val="%1."/>
      <w:lvlJc w:val="left"/>
      <w:pPr>
        <w:ind w:left="681" w:hanging="360"/>
      </w:pPr>
      <w:rPr>
        <w:rFonts w:hint="default"/>
      </w:rPr>
    </w:lvl>
    <w:lvl w:ilvl="1" w:tplc="04090019" w:tentative="1">
      <w:start w:val="1"/>
      <w:numFmt w:val="upperLetter"/>
      <w:lvlText w:val="%2."/>
      <w:lvlJc w:val="left"/>
      <w:pPr>
        <w:ind w:left="1121" w:hanging="400"/>
      </w:pPr>
    </w:lvl>
    <w:lvl w:ilvl="2" w:tplc="0409001B" w:tentative="1">
      <w:start w:val="1"/>
      <w:numFmt w:val="lowerRoman"/>
      <w:lvlText w:val="%3."/>
      <w:lvlJc w:val="right"/>
      <w:pPr>
        <w:ind w:left="1521" w:hanging="400"/>
      </w:pPr>
    </w:lvl>
    <w:lvl w:ilvl="3" w:tplc="0409000F" w:tentative="1">
      <w:start w:val="1"/>
      <w:numFmt w:val="decimal"/>
      <w:lvlText w:val="%4."/>
      <w:lvlJc w:val="left"/>
      <w:pPr>
        <w:ind w:left="1921" w:hanging="400"/>
      </w:pPr>
    </w:lvl>
    <w:lvl w:ilvl="4" w:tplc="04090019" w:tentative="1">
      <w:start w:val="1"/>
      <w:numFmt w:val="upperLetter"/>
      <w:lvlText w:val="%5."/>
      <w:lvlJc w:val="left"/>
      <w:pPr>
        <w:ind w:left="2321" w:hanging="400"/>
      </w:pPr>
    </w:lvl>
    <w:lvl w:ilvl="5" w:tplc="0409001B" w:tentative="1">
      <w:start w:val="1"/>
      <w:numFmt w:val="lowerRoman"/>
      <w:lvlText w:val="%6."/>
      <w:lvlJc w:val="right"/>
      <w:pPr>
        <w:ind w:left="2721" w:hanging="400"/>
      </w:pPr>
    </w:lvl>
    <w:lvl w:ilvl="6" w:tplc="0409000F" w:tentative="1">
      <w:start w:val="1"/>
      <w:numFmt w:val="decimal"/>
      <w:lvlText w:val="%7."/>
      <w:lvlJc w:val="left"/>
      <w:pPr>
        <w:ind w:left="3121" w:hanging="400"/>
      </w:pPr>
    </w:lvl>
    <w:lvl w:ilvl="7" w:tplc="04090019" w:tentative="1">
      <w:start w:val="1"/>
      <w:numFmt w:val="upperLetter"/>
      <w:lvlText w:val="%8."/>
      <w:lvlJc w:val="left"/>
      <w:pPr>
        <w:ind w:left="3521" w:hanging="400"/>
      </w:pPr>
    </w:lvl>
    <w:lvl w:ilvl="8" w:tplc="0409001B" w:tentative="1">
      <w:start w:val="1"/>
      <w:numFmt w:val="lowerRoman"/>
      <w:lvlText w:val="%9."/>
      <w:lvlJc w:val="right"/>
      <w:pPr>
        <w:ind w:left="3921" w:hanging="400"/>
      </w:pPr>
    </w:lvl>
  </w:abstractNum>
  <w:abstractNum w:abstractNumId="3">
    <w:nsid w:val="0FA31A1C"/>
    <w:multiLevelType w:val="hybridMultilevel"/>
    <w:tmpl w:val="A8BA96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58578C"/>
    <w:multiLevelType w:val="hybridMultilevel"/>
    <w:tmpl w:val="F3245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6">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5D60B1D"/>
    <w:multiLevelType w:val="hybridMultilevel"/>
    <w:tmpl w:val="0CA214B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CEC3F56"/>
    <w:multiLevelType w:val="hybridMultilevel"/>
    <w:tmpl w:val="9BEAE54A"/>
    <w:lvl w:ilvl="0" w:tplc="8C482B8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65F83071"/>
    <w:multiLevelType w:val="multilevel"/>
    <w:tmpl w:val="27949E04"/>
    <w:lvl w:ilvl="0">
      <w:start w:val="3"/>
      <w:numFmt w:val="decimal"/>
      <w:lvlText w:val="%1"/>
      <w:lvlJc w:val="left"/>
      <w:pPr>
        <w:ind w:left="425" w:hanging="425"/>
      </w:pPr>
      <w:rPr>
        <w:rFonts w:hint="eastAsia"/>
      </w:rPr>
    </w:lvl>
    <w:lvl w:ilvl="1">
      <w:start w:val="5"/>
      <w:numFmt w:val="decimal"/>
      <w:lvlText w:val="%1.%2"/>
      <w:lvlJc w:val="left"/>
      <w:pPr>
        <w:ind w:left="3120"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6C827369"/>
    <w:multiLevelType w:val="hybridMultilevel"/>
    <w:tmpl w:val="8BE43AA4"/>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8"/>
  </w:num>
  <w:num w:numId="4">
    <w:abstractNumId w:val="19"/>
  </w:num>
  <w:num w:numId="5">
    <w:abstractNumId w:val="0"/>
  </w:num>
  <w:num w:numId="6">
    <w:abstractNumId w:val="2"/>
  </w:num>
  <w:num w:numId="7">
    <w:abstractNumId w:val="5"/>
  </w:num>
  <w:num w:numId="8">
    <w:abstractNumId w:val="10"/>
  </w:num>
  <w:num w:numId="9">
    <w:abstractNumId w:val="21"/>
  </w:num>
  <w:num w:numId="10">
    <w:abstractNumId w:val="15"/>
  </w:num>
  <w:num w:numId="11">
    <w:abstractNumId w:val="12"/>
  </w:num>
  <w:num w:numId="12">
    <w:abstractNumId w:val="6"/>
  </w:num>
  <w:num w:numId="13">
    <w:abstractNumId w:val="13"/>
  </w:num>
  <w:num w:numId="14">
    <w:abstractNumId w:val="14"/>
  </w:num>
  <w:num w:numId="15">
    <w:abstractNumId w:val="16"/>
  </w:num>
  <w:num w:numId="16">
    <w:abstractNumId w:val="17"/>
  </w:num>
  <w:num w:numId="17">
    <w:abstractNumId w:val="9"/>
  </w:num>
  <w:num w:numId="18">
    <w:abstractNumId w:val="1"/>
  </w:num>
  <w:num w:numId="19">
    <w:abstractNumId w:val="7"/>
  </w:num>
  <w:num w:numId="20">
    <w:abstractNumId w:val="3"/>
  </w:num>
  <w:num w:numId="21">
    <w:abstractNumId w:val="4"/>
  </w:num>
  <w:num w:numId="22">
    <w:abstractNumId w:val="20"/>
  </w:num>
  <w:num w:numId="23">
    <w:abstractNumId w:val="11"/>
  </w:num>
  <w:num w:numId="24">
    <w:abstractNumId w:val="13"/>
  </w:num>
  <w:num w:numId="25">
    <w:abstractNumId w:val="14"/>
    <w:lvlOverride w:ilvl="0"/>
    <w:lvlOverride w:ilvl="1"/>
    <w:lvlOverride w:ilvl="2"/>
    <w:lvlOverride w:ilvl="3"/>
    <w:lvlOverride w:ilvl="4"/>
    <w:lvlOverride w:ilvl="5"/>
    <w:lvlOverride w:ilvl="6"/>
    <w:lvlOverride w:ilvl="7"/>
    <w:lvlOverride w:ilvl="8"/>
  </w:num>
  <w:num w:numId="26">
    <w:abstractNumId w:val="9"/>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27AA"/>
    <w:rsid w:val="0000375A"/>
    <w:rsid w:val="000045A5"/>
    <w:rsid w:val="00004A65"/>
    <w:rsid w:val="00004DAF"/>
    <w:rsid w:val="000057A9"/>
    <w:rsid w:val="000062DD"/>
    <w:rsid w:val="00006D88"/>
    <w:rsid w:val="000071E3"/>
    <w:rsid w:val="00010D98"/>
    <w:rsid w:val="0001164A"/>
    <w:rsid w:val="00012355"/>
    <w:rsid w:val="00012481"/>
    <w:rsid w:val="00014AB6"/>
    <w:rsid w:val="000152CC"/>
    <w:rsid w:val="00015AC4"/>
    <w:rsid w:val="00016147"/>
    <w:rsid w:val="0001642B"/>
    <w:rsid w:val="000164DC"/>
    <w:rsid w:val="00016C00"/>
    <w:rsid w:val="00017902"/>
    <w:rsid w:val="000200C9"/>
    <w:rsid w:val="00020603"/>
    <w:rsid w:val="0002266C"/>
    <w:rsid w:val="000229BB"/>
    <w:rsid w:val="00022BF1"/>
    <w:rsid w:val="000243AB"/>
    <w:rsid w:val="000258D9"/>
    <w:rsid w:val="00025DBE"/>
    <w:rsid w:val="000261E9"/>
    <w:rsid w:val="000271BC"/>
    <w:rsid w:val="0002775A"/>
    <w:rsid w:val="00027A43"/>
    <w:rsid w:val="00027DC9"/>
    <w:rsid w:val="00027DDB"/>
    <w:rsid w:val="00030140"/>
    <w:rsid w:val="00030337"/>
    <w:rsid w:val="000329BC"/>
    <w:rsid w:val="00033E96"/>
    <w:rsid w:val="00034575"/>
    <w:rsid w:val="0003555E"/>
    <w:rsid w:val="0003617F"/>
    <w:rsid w:val="0004055B"/>
    <w:rsid w:val="00041340"/>
    <w:rsid w:val="00042C18"/>
    <w:rsid w:val="00043C61"/>
    <w:rsid w:val="0004530D"/>
    <w:rsid w:val="0004613A"/>
    <w:rsid w:val="0004625A"/>
    <w:rsid w:val="00046A16"/>
    <w:rsid w:val="00047CC6"/>
    <w:rsid w:val="000518BA"/>
    <w:rsid w:val="00052279"/>
    <w:rsid w:val="00052547"/>
    <w:rsid w:val="000525BC"/>
    <w:rsid w:val="00053195"/>
    <w:rsid w:val="00054215"/>
    <w:rsid w:val="0005431A"/>
    <w:rsid w:val="000561F9"/>
    <w:rsid w:val="00056334"/>
    <w:rsid w:val="00056C1A"/>
    <w:rsid w:val="00056EAA"/>
    <w:rsid w:val="00056F82"/>
    <w:rsid w:val="00057F91"/>
    <w:rsid w:val="00060822"/>
    <w:rsid w:val="00062057"/>
    <w:rsid w:val="0006278F"/>
    <w:rsid w:val="000627EB"/>
    <w:rsid w:val="00064F20"/>
    <w:rsid w:val="000659A0"/>
    <w:rsid w:val="00065AA3"/>
    <w:rsid w:val="00065AE2"/>
    <w:rsid w:val="00070B33"/>
    <w:rsid w:val="00071DEB"/>
    <w:rsid w:val="00072719"/>
    <w:rsid w:val="00072EC8"/>
    <w:rsid w:val="00073C38"/>
    <w:rsid w:val="00074046"/>
    <w:rsid w:val="000746D0"/>
    <w:rsid w:val="00074A14"/>
    <w:rsid w:val="00074F7A"/>
    <w:rsid w:val="0007536B"/>
    <w:rsid w:val="00075E30"/>
    <w:rsid w:val="00076403"/>
    <w:rsid w:val="000766CB"/>
    <w:rsid w:val="000769E1"/>
    <w:rsid w:val="00081291"/>
    <w:rsid w:val="00081A6E"/>
    <w:rsid w:val="00084068"/>
    <w:rsid w:val="00084CBE"/>
    <w:rsid w:val="00086E7D"/>
    <w:rsid w:val="00092638"/>
    <w:rsid w:val="000931EB"/>
    <w:rsid w:val="000932CB"/>
    <w:rsid w:val="0009393C"/>
    <w:rsid w:val="00094F55"/>
    <w:rsid w:val="00096149"/>
    <w:rsid w:val="000969B2"/>
    <w:rsid w:val="00097747"/>
    <w:rsid w:val="00097F4F"/>
    <w:rsid w:val="000A085D"/>
    <w:rsid w:val="000A0940"/>
    <w:rsid w:val="000A2069"/>
    <w:rsid w:val="000A2182"/>
    <w:rsid w:val="000A27A5"/>
    <w:rsid w:val="000A5252"/>
    <w:rsid w:val="000A5FF4"/>
    <w:rsid w:val="000A7518"/>
    <w:rsid w:val="000B1E05"/>
    <w:rsid w:val="000B2083"/>
    <w:rsid w:val="000B32BA"/>
    <w:rsid w:val="000B3724"/>
    <w:rsid w:val="000B3AF0"/>
    <w:rsid w:val="000B3D5F"/>
    <w:rsid w:val="000B4F0A"/>
    <w:rsid w:val="000B5B79"/>
    <w:rsid w:val="000B6675"/>
    <w:rsid w:val="000B6850"/>
    <w:rsid w:val="000B697C"/>
    <w:rsid w:val="000B75CC"/>
    <w:rsid w:val="000C0F83"/>
    <w:rsid w:val="000C1AEE"/>
    <w:rsid w:val="000C39F2"/>
    <w:rsid w:val="000C457C"/>
    <w:rsid w:val="000C7429"/>
    <w:rsid w:val="000C756A"/>
    <w:rsid w:val="000C7632"/>
    <w:rsid w:val="000D07CE"/>
    <w:rsid w:val="000D15A4"/>
    <w:rsid w:val="000D1A3C"/>
    <w:rsid w:val="000D2B8C"/>
    <w:rsid w:val="000D48EF"/>
    <w:rsid w:val="000D4A92"/>
    <w:rsid w:val="000D4AD8"/>
    <w:rsid w:val="000E0149"/>
    <w:rsid w:val="000E0502"/>
    <w:rsid w:val="000E11D0"/>
    <w:rsid w:val="000E2B6F"/>
    <w:rsid w:val="000E3653"/>
    <w:rsid w:val="000E39AA"/>
    <w:rsid w:val="000E3E60"/>
    <w:rsid w:val="000E4CFC"/>
    <w:rsid w:val="000E5C31"/>
    <w:rsid w:val="000E6274"/>
    <w:rsid w:val="000E6FAA"/>
    <w:rsid w:val="000F0981"/>
    <w:rsid w:val="000F11AD"/>
    <w:rsid w:val="000F15AB"/>
    <w:rsid w:val="000F2653"/>
    <w:rsid w:val="000F2978"/>
    <w:rsid w:val="000F315E"/>
    <w:rsid w:val="000F5CA1"/>
    <w:rsid w:val="000F6073"/>
    <w:rsid w:val="000F7C44"/>
    <w:rsid w:val="00100117"/>
    <w:rsid w:val="00102042"/>
    <w:rsid w:val="001024DC"/>
    <w:rsid w:val="00102CA2"/>
    <w:rsid w:val="001032AC"/>
    <w:rsid w:val="00105076"/>
    <w:rsid w:val="00105707"/>
    <w:rsid w:val="001066A2"/>
    <w:rsid w:val="00107014"/>
    <w:rsid w:val="001079BF"/>
    <w:rsid w:val="00111168"/>
    <w:rsid w:val="00111456"/>
    <w:rsid w:val="00111DBB"/>
    <w:rsid w:val="001120D2"/>
    <w:rsid w:val="00112A67"/>
    <w:rsid w:val="001131DB"/>
    <w:rsid w:val="00113B57"/>
    <w:rsid w:val="001148C1"/>
    <w:rsid w:val="00115E03"/>
    <w:rsid w:val="00116B60"/>
    <w:rsid w:val="00116C30"/>
    <w:rsid w:val="00116E3D"/>
    <w:rsid w:val="001175A1"/>
    <w:rsid w:val="00120907"/>
    <w:rsid w:val="00120EBC"/>
    <w:rsid w:val="00121C81"/>
    <w:rsid w:val="00123B36"/>
    <w:rsid w:val="001245C3"/>
    <w:rsid w:val="0012464F"/>
    <w:rsid w:val="00125653"/>
    <w:rsid w:val="00132E9C"/>
    <w:rsid w:val="001408BD"/>
    <w:rsid w:val="00142281"/>
    <w:rsid w:val="0014336D"/>
    <w:rsid w:val="00143A51"/>
    <w:rsid w:val="001464DE"/>
    <w:rsid w:val="00146862"/>
    <w:rsid w:val="00146A25"/>
    <w:rsid w:val="00147585"/>
    <w:rsid w:val="00147C9B"/>
    <w:rsid w:val="00147D07"/>
    <w:rsid w:val="00147E09"/>
    <w:rsid w:val="001504FC"/>
    <w:rsid w:val="00150615"/>
    <w:rsid w:val="00151090"/>
    <w:rsid w:val="001511E7"/>
    <w:rsid w:val="00154EAC"/>
    <w:rsid w:val="00155F5E"/>
    <w:rsid w:val="00157813"/>
    <w:rsid w:val="001601C0"/>
    <w:rsid w:val="00160C4B"/>
    <w:rsid w:val="00162E53"/>
    <w:rsid w:val="001639C5"/>
    <w:rsid w:val="00163F3E"/>
    <w:rsid w:val="00163FA1"/>
    <w:rsid w:val="00164371"/>
    <w:rsid w:val="00164B06"/>
    <w:rsid w:val="00165279"/>
    <w:rsid w:val="001653D0"/>
    <w:rsid w:val="00166155"/>
    <w:rsid w:val="00166DAB"/>
    <w:rsid w:val="001675F9"/>
    <w:rsid w:val="00167E5D"/>
    <w:rsid w:val="00170281"/>
    <w:rsid w:val="0017108C"/>
    <w:rsid w:val="001720C3"/>
    <w:rsid w:val="001724EE"/>
    <w:rsid w:val="00172F7D"/>
    <w:rsid w:val="001752A3"/>
    <w:rsid w:val="00177C9E"/>
    <w:rsid w:val="0018009D"/>
    <w:rsid w:val="001812BC"/>
    <w:rsid w:val="001815C9"/>
    <w:rsid w:val="00183186"/>
    <w:rsid w:val="001834FC"/>
    <w:rsid w:val="00183F81"/>
    <w:rsid w:val="00184095"/>
    <w:rsid w:val="001856EC"/>
    <w:rsid w:val="0018686A"/>
    <w:rsid w:val="00186F7D"/>
    <w:rsid w:val="001879EF"/>
    <w:rsid w:val="00190491"/>
    <w:rsid w:val="0019064F"/>
    <w:rsid w:val="001924C4"/>
    <w:rsid w:val="00193C11"/>
    <w:rsid w:val="0019445B"/>
    <w:rsid w:val="00195F8E"/>
    <w:rsid w:val="00196D9E"/>
    <w:rsid w:val="00196DB1"/>
    <w:rsid w:val="00196DF8"/>
    <w:rsid w:val="0019737A"/>
    <w:rsid w:val="00197AE4"/>
    <w:rsid w:val="00197D3B"/>
    <w:rsid w:val="001A0B90"/>
    <w:rsid w:val="001A2814"/>
    <w:rsid w:val="001A2F17"/>
    <w:rsid w:val="001A393C"/>
    <w:rsid w:val="001A3AD4"/>
    <w:rsid w:val="001A48F3"/>
    <w:rsid w:val="001A4E8C"/>
    <w:rsid w:val="001A5FE2"/>
    <w:rsid w:val="001A6616"/>
    <w:rsid w:val="001A6FF4"/>
    <w:rsid w:val="001B08D2"/>
    <w:rsid w:val="001B223C"/>
    <w:rsid w:val="001B262F"/>
    <w:rsid w:val="001B334F"/>
    <w:rsid w:val="001B39DB"/>
    <w:rsid w:val="001B5CE9"/>
    <w:rsid w:val="001B6AAF"/>
    <w:rsid w:val="001B7532"/>
    <w:rsid w:val="001C005D"/>
    <w:rsid w:val="001C0AA4"/>
    <w:rsid w:val="001C1490"/>
    <w:rsid w:val="001C1DF6"/>
    <w:rsid w:val="001C235F"/>
    <w:rsid w:val="001C2CEF"/>
    <w:rsid w:val="001C34C1"/>
    <w:rsid w:val="001C36B6"/>
    <w:rsid w:val="001C4623"/>
    <w:rsid w:val="001C5E68"/>
    <w:rsid w:val="001C61D9"/>
    <w:rsid w:val="001C67AC"/>
    <w:rsid w:val="001D0B10"/>
    <w:rsid w:val="001D12AF"/>
    <w:rsid w:val="001D181C"/>
    <w:rsid w:val="001D2362"/>
    <w:rsid w:val="001D3748"/>
    <w:rsid w:val="001D39C3"/>
    <w:rsid w:val="001D6154"/>
    <w:rsid w:val="001E0FC3"/>
    <w:rsid w:val="001E20EE"/>
    <w:rsid w:val="001E22F1"/>
    <w:rsid w:val="001E2821"/>
    <w:rsid w:val="001E2E19"/>
    <w:rsid w:val="001E327F"/>
    <w:rsid w:val="001E3C2F"/>
    <w:rsid w:val="001E3D5C"/>
    <w:rsid w:val="001E3DEE"/>
    <w:rsid w:val="001E4252"/>
    <w:rsid w:val="001E6C71"/>
    <w:rsid w:val="001F0682"/>
    <w:rsid w:val="001F21E3"/>
    <w:rsid w:val="001F24D1"/>
    <w:rsid w:val="001F26FE"/>
    <w:rsid w:val="001F30C8"/>
    <w:rsid w:val="001F3AAD"/>
    <w:rsid w:val="001F5640"/>
    <w:rsid w:val="001F5779"/>
    <w:rsid w:val="001F5956"/>
    <w:rsid w:val="001F664D"/>
    <w:rsid w:val="001F699C"/>
    <w:rsid w:val="001F6DCC"/>
    <w:rsid w:val="00200567"/>
    <w:rsid w:val="00200E1A"/>
    <w:rsid w:val="00205FD4"/>
    <w:rsid w:val="0020659B"/>
    <w:rsid w:val="00206AB6"/>
    <w:rsid w:val="00206EFE"/>
    <w:rsid w:val="00207277"/>
    <w:rsid w:val="002078BB"/>
    <w:rsid w:val="0021215C"/>
    <w:rsid w:val="00212462"/>
    <w:rsid w:val="00213116"/>
    <w:rsid w:val="00213D7D"/>
    <w:rsid w:val="00214066"/>
    <w:rsid w:val="00216B87"/>
    <w:rsid w:val="002201E4"/>
    <w:rsid w:val="00220D3D"/>
    <w:rsid w:val="00220EF4"/>
    <w:rsid w:val="002227BA"/>
    <w:rsid w:val="00222C96"/>
    <w:rsid w:val="0022485C"/>
    <w:rsid w:val="00224D7E"/>
    <w:rsid w:val="00225181"/>
    <w:rsid w:val="00225BC3"/>
    <w:rsid w:val="0022701B"/>
    <w:rsid w:val="0023015F"/>
    <w:rsid w:val="002309BB"/>
    <w:rsid w:val="00231AE1"/>
    <w:rsid w:val="0023318F"/>
    <w:rsid w:val="00233364"/>
    <w:rsid w:val="002335E7"/>
    <w:rsid w:val="0023645D"/>
    <w:rsid w:val="002364A8"/>
    <w:rsid w:val="00236EE0"/>
    <w:rsid w:val="00240002"/>
    <w:rsid w:val="00242527"/>
    <w:rsid w:val="00242ACC"/>
    <w:rsid w:val="0024321B"/>
    <w:rsid w:val="0024354A"/>
    <w:rsid w:val="002443D1"/>
    <w:rsid w:val="00244B05"/>
    <w:rsid w:val="00244C0F"/>
    <w:rsid w:val="00244C63"/>
    <w:rsid w:val="00245E25"/>
    <w:rsid w:val="00245FF1"/>
    <w:rsid w:val="00246013"/>
    <w:rsid w:val="00246034"/>
    <w:rsid w:val="0024716F"/>
    <w:rsid w:val="002471B1"/>
    <w:rsid w:val="002477A0"/>
    <w:rsid w:val="00250215"/>
    <w:rsid w:val="00251976"/>
    <w:rsid w:val="00252EFC"/>
    <w:rsid w:val="0025484D"/>
    <w:rsid w:val="0025629B"/>
    <w:rsid w:val="00256B07"/>
    <w:rsid w:val="00256E37"/>
    <w:rsid w:val="002601FD"/>
    <w:rsid w:val="0026031A"/>
    <w:rsid w:val="00261920"/>
    <w:rsid w:val="00262053"/>
    <w:rsid w:val="00262558"/>
    <w:rsid w:val="00262937"/>
    <w:rsid w:val="0026395D"/>
    <w:rsid w:val="00263D5C"/>
    <w:rsid w:val="00264A9B"/>
    <w:rsid w:val="00264E4A"/>
    <w:rsid w:val="002656C3"/>
    <w:rsid w:val="00266757"/>
    <w:rsid w:val="00267136"/>
    <w:rsid w:val="0027072F"/>
    <w:rsid w:val="00270B14"/>
    <w:rsid w:val="002718E0"/>
    <w:rsid w:val="002719C8"/>
    <w:rsid w:val="00272488"/>
    <w:rsid w:val="00272E81"/>
    <w:rsid w:val="00273194"/>
    <w:rsid w:val="00273488"/>
    <w:rsid w:val="0027358E"/>
    <w:rsid w:val="00273C2D"/>
    <w:rsid w:val="00274AB3"/>
    <w:rsid w:val="00274FE2"/>
    <w:rsid w:val="002750D8"/>
    <w:rsid w:val="00275286"/>
    <w:rsid w:val="0027545D"/>
    <w:rsid w:val="00275E86"/>
    <w:rsid w:val="00276309"/>
    <w:rsid w:val="00276472"/>
    <w:rsid w:val="002773C9"/>
    <w:rsid w:val="00277E51"/>
    <w:rsid w:val="00281495"/>
    <w:rsid w:val="002822D6"/>
    <w:rsid w:val="0028233E"/>
    <w:rsid w:val="002823E4"/>
    <w:rsid w:val="00282438"/>
    <w:rsid w:val="00282747"/>
    <w:rsid w:val="00284895"/>
    <w:rsid w:val="00284F73"/>
    <w:rsid w:val="00285315"/>
    <w:rsid w:val="00285964"/>
    <w:rsid w:val="00285BCB"/>
    <w:rsid w:val="00285BE0"/>
    <w:rsid w:val="00286760"/>
    <w:rsid w:val="00287553"/>
    <w:rsid w:val="00287916"/>
    <w:rsid w:val="002908CF"/>
    <w:rsid w:val="00290E94"/>
    <w:rsid w:val="002910FF"/>
    <w:rsid w:val="00291313"/>
    <w:rsid w:val="002925F6"/>
    <w:rsid w:val="00293BEE"/>
    <w:rsid w:val="00293C58"/>
    <w:rsid w:val="00293F3B"/>
    <w:rsid w:val="00295F13"/>
    <w:rsid w:val="0029661F"/>
    <w:rsid w:val="0029799D"/>
    <w:rsid w:val="002A05B3"/>
    <w:rsid w:val="002A0B4E"/>
    <w:rsid w:val="002A1AB2"/>
    <w:rsid w:val="002A1C72"/>
    <w:rsid w:val="002A6D10"/>
    <w:rsid w:val="002A7230"/>
    <w:rsid w:val="002A757A"/>
    <w:rsid w:val="002B02B9"/>
    <w:rsid w:val="002B23B9"/>
    <w:rsid w:val="002B2F47"/>
    <w:rsid w:val="002B34E7"/>
    <w:rsid w:val="002B3C43"/>
    <w:rsid w:val="002B4591"/>
    <w:rsid w:val="002B625E"/>
    <w:rsid w:val="002B7846"/>
    <w:rsid w:val="002B7A2E"/>
    <w:rsid w:val="002B7AAD"/>
    <w:rsid w:val="002C0899"/>
    <w:rsid w:val="002C263B"/>
    <w:rsid w:val="002C47D8"/>
    <w:rsid w:val="002C570B"/>
    <w:rsid w:val="002C7155"/>
    <w:rsid w:val="002C7285"/>
    <w:rsid w:val="002D0AAE"/>
    <w:rsid w:val="002D173D"/>
    <w:rsid w:val="002D1CAC"/>
    <w:rsid w:val="002D3234"/>
    <w:rsid w:val="002D46F0"/>
    <w:rsid w:val="002D4CF4"/>
    <w:rsid w:val="002D5482"/>
    <w:rsid w:val="002D5C78"/>
    <w:rsid w:val="002E0613"/>
    <w:rsid w:val="002E12AE"/>
    <w:rsid w:val="002E6019"/>
    <w:rsid w:val="002E6A28"/>
    <w:rsid w:val="002E750C"/>
    <w:rsid w:val="002F02E4"/>
    <w:rsid w:val="002F5D0A"/>
    <w:rsid w:val="002F73A2"/>
    <w:rsid w:val="00301BA0"/>
    <w:rsid w:val="00302136"/>
    <w:rsid w:val="00302A5D"/>
    <w:rsid w:val="00303269"/>
    <w:rsid w:val="00306663"/>
    <w:rsid w:val="00306812"/>
    <w:rsid w:val="00306A05"/>
    <w:rsid w:val="00306B01"/>
    <w:rsid w:val="003101CD"/>
    <w:rsid w:val="00310A5E"/>
    <w:rsid w:val="00310C52"/>
    <w:rsid w:val="003112BB"/>
    <w:rsid w:val="00311704"/>
    <w:rsid w:val="00311C79"/>
    <w:rsid w:val="00312173"/>
    <w:rsid w:val="00312601"/>
    <w:rsid w:val="00312D7E"/>
    <w:rsid w:val="00313093"/>
    <w:rsid w:val="00313623"/>
    <w:rsid w:val="00313AA0"/>
    <w:rsid w:val="00313C19"/>
    <w:rsid w:val="00313FFB"/>
    <w:rsid w:val="00315278"/>
    <w:rsid w:val="00315917"/>
    <w:rsid w:val="00316666"/>
    <w:rsid w:val="003166DD"/>
    <w:rsid w:val="00317525"/>
    <w:rsid w:val="003175B6"/>
    <w:rsid w:val="00317ACC"/>
    <w:rsid w:val="00317B84"/>
    <w:rsid w:val="0032063A"/>
    <w:rsid w:val="00320963"/>
    <w:rsid w:val="00320F62"/>
    <w:rsid w:val="00321668"/>
    <w:rsid w:val="00321E9A"/>
    <w:rsid w:val="00322253"/>
    <w:rsid w:val="00322BAA"/>
    <w:rsid w:val="00324353"/>
    <w:rsid w:val="003245B9"/>
    <w:rsid w:val="003258B0"/>
    <w:rsid w:val="00325F04"/>
    <w:rsid w:val="00330104"/>
    <w:rsid w:val="00330935"/>
    <w:rsid w:val="00330AF1"/>
    <w:rsid w:val="003313F6"/>
    <w:rsid w:val="00331B4B"/>
    <w:rsid w:val="00332DDC"/>
    <w:rsid w:val="003337D5"/>
    <w:rsid w:val="003338C4"/>
    <w:rsid w:val="00333E2A"/>
    <w:rsid w:val="003344CF"/>
    <w:rsid w:val="00334FBD"/>
    <w:rsid w:val="00336715"/>
    <w:rsid w:val="0033781A"/>
    <w:rsid w:val="00337EA9"/>
    <w:rsid w:val="00341E53"/>
    <w:rsid w:val="00341EC2"/>
    <w:rsid w:val="00342597"/>
    <w:rsid w:val="003446A9"/>
    <w:rsid w:val="0034503E"/>
    <w:rsid w:val="00346857"/>
    <w:rsid w:val="00346ED8"/>
    <w:rsid w:val="003501F4"/>
    <w:rsid w:val="003526E0"/>
    <w:rsid w:val="0035275F"/>
    <w:rsid w:val="00353454"/>
    <w:rsid w:val="00353CEA"/>
    <w:rsid w:val="003560E2"/>
    <w:rsid w:val="00356FCD"/>
    <w:rsid w:val="003575AA"/>
    <w:rsid w:val="00360EFD"/>
    <w:rsid w:val="00361691"/>
    <w:rsid w:val="00361805"/>
    <w:rsid w:val="00362A1C"/>
    <w:rsid w:val="00362A8F"/>
    <w:rsid w:val="0036359A"/>
    <w:rsid w:val="003641DE"/>
    <w:rsid w:val="00364E0D"/>
    <w:rsid w:val="00365A7D"/>
    <w:rsid w:val="0036684B"/>
    <w:rsid w:val="003708AF"/>
    <w:rsid w:val="00370B4F"/>
    <w:rsid w:val="00370E2C"/>
    <w:rsid w:val="00370EF1"/>
    <w:rsid w:val="003724D7"/>
    <w:rsid w:val="00373472"/>
    <w:rsid w:val="00374282"/>
    <w:rsid w:val="00374F4E"/>
    <w:rsid w:val="00375927"/>
    <w:rsid w:val="00377A42"/>
    <w:rsid w:val="00377E08"/>
    <w:rsid w:val="003802D6"/>
    <w:rsid w:val="00380FB3"/>
    <w:rsid w:val="00381354"/>
    <w:rsid w:val="00381F58"/>
    <w:rsid w:val="00382AD9"/>
    <w:rsid w:val="00383B74"/>
    <w:rsid w:val="003862C0"/>
    <w:rsid w:val="00386821"/>
    <w:rsid w:val="003872EE"/>
    <w:rsid w:val="00390182"/>
    <w:rsid w:val="00390DA6"/>
    <w:rsid w:val="00390EBF"/>
    <w:rsid w:val="00394528"/>
    <w:rsid w:val="00395616"/>
    <w:rsid w:val="003970D5"/>
    <w:rsid w:val="0039743B"/>
    <w:rsid w:val="0039745B"/>
    <w:rsid w:val="00397A82"/>
    <w:rsid w:val="003A04AA"/>
    <w:rsid w:val="003A39D8"/>
    <w:rsid w:val="003A4B70"/>
    <w:rsid w:val="003A58AA"/>
    <w:rsid w:val="003A677E"/>
    <w:rsid w:val="003A6A8D"/>
    <w:rsid w:val="003A6EF8"/>
    <w:rsid w:val="003A717B"/>
    <w:rsid w:val="003A7642"/>
    <w:rsid w:val="003A7B1A"/>
    <w:rsid w:val="003B177A"/>
    <w:rsid w:val="003B1BC3"/>
    <w:rsid w:val="003B42D8"/>
    <w:rsid w:val="003B5474"/>
    <w:rsid w:val="003B5862"/>
    <w:rsid w:val="003B5DDC"/>
    <w:rsid w:val="003B629E"/>
    <w:rsid w:val="003B6630"/>
    <w:rsid w:val="003B7A71"/>
    <w:rsid w:val="003B7AB4"/>
    <w:rsid w:val="003C142E"/>
    <w:rsid w:val="003C17FF"/>
    <w:rsid w:val="003C2EA2"/>
    <w:rsid w:val="003C3E53"/>
    <w:rsid w:val="003C3EA4"/>
    <w:rsid w:val="003C5A11"/>
    <w:rsid w:val="003C5B4D"/>
    <w:rsid w:val="003C6540"/>
    <w:rsid w:val="003C677D"/>
    <w:rsid w:val="003C7972"/>
    <w:rsid w:val="003D213A"/>
    <w:rsid w:val="003D2DDC"/>
    <w:rsid w:val="003D42B7"/>
    <w:rsid w:val="003D533C"/>
    <w:rsid w:val="003D5834"/>
    <w:rsid w:val="003D7F22"/>
    <w:rsid w:val="003E04A9"/>
    <w:rsid w:val="003E11CC"/>
    <w:rsid w:val="003E1E00"/>
    <w:rsid w:val="003E2492"/>
    <w:rsid w:val="003E374E"/>
    <w:rsid w:val="003E4D31"/>
    <w:rsid w:val="003E579D"/>
    <w:rsid w:val="003E5DBA"/>
    <w:rsid w:val="003E6513"/>
    <w:rsid w:val="003F0235"/>
    <w:rsid w:val="003F07CF"/>
    <w:rsid w:val="003F0D33"/>
    <w:rsid w:val="003F2188"/>
    <w:rsid w:val="003F2712"/>
    <w:rsid w:val="003F28A8"/>
    <w:rsid w:val="003F35DE"/>
    <w:rsid w:val="003F3F91"/>
    <w:rsid w:val="003F4040"/>
    <w:rsid w:val="003F60E5"/>
    <w:rsid w:val="003F6997"/>
    <w:rsid w:val="003F6BE8"/>
    <w:rsid w:val="00400129"/>
    <w:rsid w:val="004005C5"/>
    <w:rsid w:val="00400DAE"/>
    <w:rsid w:val="004016F2"/>
    <w:rsid w:val="00401A32"/>
    <w:rsid w:val="00403266"/>
    <w:rsid w:val="00405593"/>
    <w:rsid w:val="004055CE"/>
    <w:rsid w:val="004055FD"/>
    <w:rsid w:val="00405AC0"/>
    <w:rsid w:val="004074D0"/>
    <w:rsid w:val="00407A9C"/>
    <w:rsid w:val="00410A6C"/>
    <w:rsid w:val="00412135"/>
    <w:rsid w:val="00412DA9"/>
    <w:rsid w:val="004147B1"/>
    <w:rsid w:val="00414A94"/>
    <w:rsid w:val="0041560A"/>
    <w:rsid w:val="00415A30"/>
    <w:rsid w:val="00416191"/>
    <w:rsid w:val="0041657D"/>
    <w:rsid w:val="00416BF5"/>
    <w:rsid w:val="00416C1B"/>
    <w:rsid w:val="0041723A"/>
    <w:rsid w:val="004205C5"/>
    <w:rsid w:val="00422E84"/>
    <w:rsid w:val="00424BD0"/>
    <w:rsid w:val="0042556F"/>
    <w:rsid w:val="0042583D"/>
    <w:rsid w:val="00425E08"/>
    <w:rsid w:val="00426B7B"/>
    <w:rsid w:val="00427A2B"/>
    <w:rsid w:val="00427B5E"/>
    <w:rsid w:val="00431422"/>
    <w:rsid w:val="0043288D"/>
    <w:rsid w:val="00433D47"/>
    <w:rsid w:val="00433F01"/>
    <w:rsid w:val="004340C4"/>
    <w:rsid w:val="004345D2"/>
    <w:rsid w:val="00434619"/>
    <w:rsid w:val="00435315"/>
    <w:rsid w:val="00435C49"/>
    <w:rsid w:val="004401CB"/>
    <w:rsid w:val="004404A0"/>
    <w:rsid w:val="00440AA6"/>
    <w:rsid w:val="004410EE"/>
    <w:rsid w:val="004413AA"/>
    <w:rsid w:val="00442338"/>
    <w:rsid w:val="004423D3"/>
    <w:rsid w:val="004424E2"/>
    <w:rsid w:val="00442E1A"/>
    <w:rsid w:val="00442F88"/>
    <w:rsid w:val="004444F8"/>
    <w:rsid w:val="00444A81"/>
    <w:rsid w:val="00444B19"/>
    <w:rsid w:val="00445215"/>
    <w:rsid w:val="00445982"/>
    <w:rsid w:val="004462DB"/>
    <w:rsid w:val="00446A3A"/>
    <w:rsid w:val="00447827"/>
    <w:rsid w:val="00447A00"/>
    <w:rsid w:val="004508B5"/>
    <w:rsid w:val="0045232C"/>
    <w:rsid w:val="00452C2A"/>
    <w:rsid w:val="00452F55"/>
    <w:rsid w:val="004530D2"/>
    <w:rsid w:val="00453A32"/>
    <w:rsid w:val="004545B6"/>
    <w:rsid w:val="004548EA"/>
    <w:rsid w:val="00456E9B"/>
    <w:rsid w:val="0045772F"/>
    <w:rsid w:val="00457CCE"/>
    <w:rsid w:val="004606B6"/>
    <w:rsid w:val="0046118A"/>
    <w:rsid w:val="004613F6"/>
    <w:rsid w:val="00463C50"/>
    <w:rsid w:val="00463CE0"/>
    <w:rsid w:val="004648D0"/>
    <w:rsid w:val="00464A98"/>
    <w:rsid w:val="004651E0"/>
    <w:rsid w:val="00465BAE"/>
    <w:rsid w:val="0046681F"/>
    <w:rsid w:val="0046769B"/>
    <w:rsid w:val="00467903"/>
    <w:rsid w:val="00467F6E"/>
    <w:rsid w:val="00470726"/>
    <w:rsid w:val="00471AA0"/>
    <w:rsid w:val="00471F31"/>
    <w:rsid w:val="00472131"/>
    <w:rsid w:val="00472B0F"/>
    <w:rsid w:val="004733AE"/>
    <w:rsid w:val="004749A8"/>
    <w:rsid w:val="00474A59"/>
    <w:rsid w:val="00475868"/>
    <w:rsid w:val="00476B5B"/>
    <w:rsid w:val="00480542"/>
    <w:rsid w:val="004806F3"/>
    <w:rsid w:val="0048173D"/>
    <w:rsid w:val="004835DF"/>
    <w:rsid w:val="00483981"/>
    <w:rsid w:val="00483F91"/>
    <w:rsid w:val="004847C6"/>
    <w:rsid w:val="00484893"/>
    <w:rsid w:val="00487C52"/>
    <w:rsid w:val="00490074"/>
    <w:rsid w:val="0049026F"/>
    <w:rsid w:val="00490F38"/>
    <w:rsid w:val="00491010"/>
    <w:rsid w:val="004910EE"/>
    <w:rsid w:val="00491A52"/>
    <w:rsid w:val="00492462"/>
    <w:rsid w:val="004939AF"/>
    <w:rsid w:val="00495B1C"/>
    <w:rsid w:val="00495C9E"/>
    <w:rsid w:val="00495E3D"/>
    <w:rsid w:val="00495E4C"/>
    <w:rsid w:val="00496D32"/>
    <w:rsid w:val="004A1624"/>
    <w:rsid w:val="004A24AA"/>
    <w:rsid w:val="004A2DA0"/>
    <w:rsid w:val="004A6847"/>
    <w:rsid w:val="004A7634"/>
    <w:rsid w:val="004B0DF4"/>
    <w:rsid w:val="004B28FA"/>
    <w:rsid w:val="004B2B86"/>
    <w:rsid w:val="004B3D07"/>
    <w:rsid w:val="004B5493"/>
    <w:rsid w:val="004B5B6D"/>
    <w:rsid w:val="004B664F"/>
    <w:rsid w:val="004B6BF7"/>
    <w:rsid w:val="004B6D74"/>
    <w:rsid w:val="004B6E2F"/>
    <w:rsid w:val="004B72E5"/>
    <w:rsid w:val="004C04C1"/>
    <w:rsid w:val="004C0D5B"/>
    <w:rsid w:val="004C1562"/>
    <w:rsid w:val="004C1584"/>
    <w:rsid w:val="004C19C1"/>
    <w:rsid w:val="004C33A6"/>
    <w:rsid w:val="004C3C61"/>
    <w:rsid w:val="004C3E80"/>
    <w:rsid w:val="004C3F67"/>
    <w:rsid w:val="004C4ADD"/>
    <w:rsid w:val="004C4BB9"/>
    <w:rsid w:val="004C54BB"/>
    <w:rsid w:val="004C6294"/>
    <w:rsid w:val="004C63D3"/>
    <w:rsid w:val="004C6EDF"/>
    <w:rsid w:val="004C782D"/>
    <w:rsid w:val="004D08AA"/>
    <w:rsid w:val="004D1575"/>
    <w:rsid w:val="004D16F8"/>
    <w:rsid w:val="004D19DB"/>
    <w:rsid w:val="004D1D8E"/>
    <w:rsid w:val="004D2F82"/>
    <w:rsid w:val="004D5417"/>
    <w:rsid w:val="004D5964"/>
    <w:rsid w:val="004D5A9C"/>
    <w:rsid w:val="004D7A2A"/>
    <w:rsid w:val="004D7C22"/>
    <w:rsid w:val="004E05C0"/>
    <w:rsid w:val="004E060E"/>
    <w:rsid w:val="004E1C1E"/>
    <w:rsid w:val="004E1EEA"/>
    <w:rsid w:val="004E2850"/>
    <w:rsid w:val="004E2874"/>
    <w:rsid w:val="004E2A7A"/>
    <w:rsid w:val="004E326C"/>
    <w:rsid w:val="004E379E"/>
    <w:rsid w:val="004E4425"/>
    <w:rsid w:val="004E45D9"/>
    <w:rsid w:val="004E4867"/>
    <w:rsid w:val="004E5CDB"/>
    <w:rsid w:val="004E688F"/>
    <w:rsid w:val="004E7BAF"/>
    <w:rsid w:val="004F0113"/>
    <w:rsid w:val="004F0681"/>
    <w:rsid w:val="004F2253"/>
    <w:rsid w:val="004F2DB1"/>
    <w:rsid w:val="004F3138"/>
    <w:rsid w:val="004F39E3"/>
    <w:rsid w:val="004F3A39"/>
    <w:rsid w:val="004F6573"/>
    <w:rsid w:val="004F773D"/>
    <w:rsid w:val="004F79E4"/>
    <w:rsid w:val="00500239"/>
    <w:rsid w:val="00505457"/>
    <w:rsid w:val="00505D01"/>
    <w:rsid w:val="00505F38"/>
    <w:rsid w:val="005064BD"/>
    <w:rsid w:val="00507F33"/>
    <w:rsid w:val="0051044D"/>
    <w:rsid w:val="00510F47"/>
    <w:rsid w:val="0051172B"/>
    <w:rsid w:val="00513141"/>
    <w:rsid w:val="00513153"/>
    <w:rsid w:val="00513D95"/>
    <w:rsid w:val="00514B25"/>
    <w:rsid w:val="0051540D"/>
    <w:rsid w:val="0051576F"/>
    <w:rsid w:val="00516402"/>
    <w:rsid w:val="00520574"/>
    <w:rsid w:val="00521918"/>
    <w:rsid w:val="00521F62"/>
    <w:rsid w:val="00522ACA"/>
    <w:rsid w:val="00523668"/>
    <w:rsid w:val="00525249"/>
    <w:rsid w:val="00525491"/>
    <w:rsid w:val="005274C2"/>
    <w:rsid w:val="00530A08"/>
    <w:rsid w:val="00530FED"/>
    <w:rsid w:val="005311D9"/>
    <w:rsid w:val="005318E8"/>
    <w:rsid w:val="00532D26"/>
    <w:rsid w:val="0053376A"/>
    <w:rsid w:val="00533C6E"/>
    <w:rsid w:val="005356F6"/>
    <w:rsid w:val="00535B3B"/>
    <w:rsid w:val="00535D22"/>
    <w:rsid w:val="00536B3F"/>
    <w:rsid w:val="00536DF9"/>
    <w:rsid w:val="00536F04"/>
    <w:rsid w:val="00536FD1"/>
    <w:rsid w:val="0054038D"/>
    <w:rsid w:val="0054222A"/>
    <w:rsid w:val="00542578"/>
    <w:rsid w:val="00542BAD"/>
    <w:rsid w:val="00542E43"/>
    <w:rsid w:val="00542EB8"/>
    <w:rsid w:val="00542EDF"/>
    <w:rsid w:val="00543566"/>
    <w:rsid w:val="00543D50"/>
    <w:rsid w:val="00544D8C"/>
    <w:rsid w:val="0054522E"/>
    <w:rsid w:val="005453C3"/>
    <w:rsid w:val="005458E0"/>
    <w:rsid w:val="00547928"/>
    <w:rsid w:val="00547E6D"/>
    <w:rsid w:val="00551AF7"/>
    <w:rsid w:val="00551BCC"/>
    <w:rsid w:val="00551DD0"/>
    <w:rsid w:val="00552DF4"/>
    <w:rsid w:val="00552E1F"/>
    <w:rsid w:val="00553584"/>
    <w:rsid w:val="005550EC"/>
    <w:rsid w:val="005552D2"/>
    <w:rsid w:val="00556C3C"/>
    <w:rsid w:val="00556ED1"/>
    <w:rsid w:val="005577A6"/>
    <w:rsid w:val="00557E93"/>
    <w:rsid w:val="00561832"/>
    <w:rsid w:val="00561A18"/>
    <w:rsid w:val="00561ED3"/>
    <w:rsid w:val="00563F4A"/>
    <w:rsid w:val="005648D4"/>
    <w:rsid w:val="00564D08"/>
    <w:rsid w:val="00566718"/>
    <w:rsid w:val="00566C0E"/>
    <w:rsid w:val="00566DA5"/>
    <w:rsid w:val="00567222"/>
    <w:rsid w:val="005704E2"/>
    <w:rsid w:val="00572030"/>
    <w:rsid w:val="00573A27"/>
    <w:rsid w:val="00574098"/>
    <w:rsid w:val="00575F2F"/>
    <w:rsid w:val="00576448"/>
    <w:rsid w:val="00576789"/>
    <w:rsid w:val="00577488"/>
    <w:rsid w:val="00577878"/>
    <w:rsid w:val="005779B4"/>
    <w:rsid w:val="00577FC2"/>
    <w:rsid w:val="00580818"/>
    <w:rsid w:val="00580BD4"/>
    <w:rsid w:val="0058104E"/>
    <w:rsid w:val="00581C1F"/>
    <w:rsid w:val="005828EA"/>
    <w:rsid w:val="00582CF7"/>
    <w:rsid w:val="005830C8"/>
    <w:rsid w:val="00584DC7"/>
    <w:rsid w:val="00585383"/>
    <w:rsid w:val="00586952"/>
    <w:rsid w:val="00586DC2"/>
    <w:rsid w:val="005872D4"/>
    <w:rsid w:val="00587572"/>
    <w:rsid w:val="00587F46"/>
    <w:rsid w:val="00591849"/>
    <w:rsid w:val="005918A2"/>
    <w:rsid w:val="00591A62"/>
    <w:rsid w:val="005926A7"/>
    <w:rsid w:val="00595BDE"/>
    <w:rsid w:val="00596B63"/>
    <w:rsid w:val="005970B9"/>
    <w:rsid w:val="00597193"/>
    <w:rsid w:val="005A1052"/>
    <w:rsid w:val="005A12B0"/>
    <w:rsid w:val="005A3B00"/>
    <w:rsid w:val="005A493A"/>
    <w:rsid w:val="005A5376"/>
    <w:rsid w:val="005A5841"/>
    <w:rsid w:val="005A5DD6"/>
    <w:rsid w:val="005A6347"/>
    <w:rsid w:val="005A7654"/>
    <w:rsid w:val="005A7AF3"/>
    <w:rsid w:val="005B163B"/>
    <w:rsid w:val="005B179E"/>
    <w:rsid w:val="005B1840"/>
    <w:rsid w:val="005B1BB8"/>
    <w:rsid w:val="005B2B93"/>
    <w:rsid w:val="005B5321"/>
    <w:rsid w:val="005C0E6E"/>
    <w:rsid w:val="005C0EB0"/>
    <w:rsid w:val="005C1CA9"/>
    <w:rsid w:val="005C1DCD"/>
    <w:rsid w:val="005C265A"/>
    <w:rsid w:val="005C6267"/>
    <w:rsid w:val="005D03A7"/>
    <w:rsid w:val="005D0C1F"/>
    <w:rsid w:val="005D1FB3"/>
    <w:rsid w:val="005D29BA"/>
    <w:rsid w:val="005D31E8"/>
    <w:rsid w:val="005D3F6E"/>
    <w:rsid w:val="005D4CF2"/>
    <w:rsid w:val="005D5527"/>
    <w:rsid w:val="005D55B2"/>
    <w:rsid w:val="005D6270"/>
    <w:rsid w:val="005D701D"/>
    <w:rsid w:val="005E0CF8"/>
    <w:rsid w:val="005E27B5"/>
    <w:rsid w:val="005E5D92"/>
    <w:rsid w:val="005E634F"/>
    <w:rsid w:val="005E640E"/>
    <w:rsid w:val="005E7262"/>
    <w:rsid w:val="005E7599"/>
    <w:rsid w:val="005F035B"/>
    <w:rsid w:val="005F0777"/>
    <w:rsid w:val="005F0AD9"/>
    <w:rsid w:val="005F0D5D"/>
    <w:rsid w:val="005F1142"/>
    <w:rsid w:val="005F2073"/>
    <w:rsid w:val="005F2ADE"/>
    <w:rsid w:val="005F3762"/>
    <w:rsid w:val="005F56FF"/>
    <w:rsid w:val="006010AB"/>
    <w:rsid w:val="00602F6E"/>
    <w:rsid w:val="00603671"/>
    <w:rsid w:val="00603B3E"/>
    <w:rsid w:val="006043ED"/>
    <w:rsid w:val="0060628B"/>
    <w:rsid w:val="006113EA"/>
    <w:rsid w:val="00611C0C"/>
    <w:rsid w:val="006134BD"/>
    <w:rsid w:val="0061421D"/>
    <w:rsid w:val="006155C7"/>
    <w:rsid w:val="00615E23"/>
    <w:rsid w:val="00615F33"/>
    <w:rsid w:val="006163DF"/>
    <w:rsid w:val="00616937"/>
    <w:rsid w:val="00620509"/>
    <w:rsid w:val="006211D4"/>
    <w:rsid w:val="00621F96"/>
    <w:rsid w:val="006226A0"/>
    <w:rsid w:val="00622D5B"/>
    <w:rsid w:val="00625CEF"/>
    <w:rsid w:val="006305C9"/>
    <w:rsid w:val="006314FD"/>
    <w:rsid w:val="00631C3E"/>
    <w:rsid w:val="0063310B"/>
    <w:rsid w:val="0063386C"/>
    <w:rsid w:val="0063498B"/>
    <w:rsid w:val="00634C4E"/>
    <w:rsid w:val="00636857"/>
    <w:rsid w:val="0063690C"/>
    <w:rsid w:val="00636B55"/>
    <w:rsid w:val="00642673"/>
    <w:rsid w:val="00642BD3"/>
    <w:rsid w:val="00642DB5"/>
    <w:rsid w:val="00643123"/>
    <w:rsid w:val="0064404C"/>
    <w:rsid w:val="00644375"/>
    <w:rsid w:val="006444E3"/>
    <w:rsid w:val="00646167"/>
    <w:rsid w:val="00650ABF"/>
    <w:rsid w:val="00651300"/>
    <w:rsid w:val="00651ABB"/>
    <w:rsid w:val="00652793"/>
    <w:rsid w:val="0065307D"/>
    <w:rsid w:val="006536F3"/>
    <w:rsid w:val="00654FC3"/>
    <w:rsid w:val="00655E6D"/>
    <w:rsid w:val="00656FD9"/>
    <w:rsid w:val="00661F9D"/>
    <w:rsid w:val="0066387B"/>
    <w:rsid w:val="006655D7"/>
    <w:rsid w:val="006659A0"/>
    <w:rsid w:val="00667066"/>
    <w:rsid w:val="00667619"/>
    <w:rsid w:val="00670877"/>
    <w:rsid w:val="006709B0"/>
    <w:rsid w:val="00670B0D"/>
    <w:rsid w:val="0067186B"/>
    <w:rsid w:val="00673FBC"/>
    <w:rsid w:val="006755B0"/>
    <w:rsid w:val="00675A33"/>
    <w:rsid w:val="00675FB9"/>
    <w:rsid w:val="00676FC0"/>
    <w:rsid w:val="0067729B"/>
    <w:rsid w:val="00680A49"/>
    <w:rsid w:val="00680F89"/>
    <w:rsid w:val="00682268"/>
    <w:rsid w:val="00682ECA"/>
    <w:rsid w:val="0068397C"/>
    <w:rsid w:val="00684FE8"/>
    <w:rsid w:val="006875F3"/>
    <w:rsid w:val="006908EA"/>
    <w:rsid w:val="00690C9B"/>
    <w:rsid w:val="00692D00"/>
    <w:rsid w:val="0069321F"/>
    <w:rsid w:val="00694491"/>
    <w:rsid w:val="006958DC"/>
    <w:rsid w:val="00696AF1"/>
    <w:rsid w:val="0069764D"/>
    <w:rsid w:val="006A0FE7"/>
    <w:rsid w:val="006A1968"/>
    <w:rsid w:val="006A2CF7"/>
    <w:rsid w:val="006A2D4C"/>
    <w:rsid w:val="006A4F29"/>
    <w:rsid w:val="006A5E0C"/>
    <w:rsid w:val="006A7062"/>
    <w:rsid w:val="006A7931"/>
    <w:rsid w:val="006B05BF"/>
    <w:rsid w:val="006B133D"/>
    <w:rsid w:val="006B1408"/>
    <w:rsid w:val="006B329C"/>
    <w:rsid w:val="006B40AE"/>
    <w:rsid w:val="006B7F1F"/>
    <w:rsid w:val="006C04BF"/>
    <w:rsid w:val="006C051B"/>
    <w:rsid w:val="006C06C3"/>
    <w:rsid w:val="006C0734"/>
    <w:rsid w:val="006C0FE7"/>
    <w:rsid w:val="006C17D3"/>
    <w:rsid w:val="006C1AAE"/>
    <w:rsid w:val="006C2DA0"/>
    <w:rsid w:val="006C3000"/>
    <w:rsid w:val="006C3074"/>
    <w:rsid w:val="006C4719"/>
    <w:rsid w:val="006C4E92"/>
    <w:rsid w:val="006C607E"/>
    <w:rsid w:val="006C64F4"/>
    <w:rsid w:val="006C77B8"/>
    <w:rsid w:val="006D01A6"/>
    <w:rsid w:val="006D0234"/>
    <w:rsid w:val="006D04CE"/>
    <w:rsid w:val="006D0BEE"/>
    <w:rsid w:val="006D0EBC"/>
    <w:rsid w:val="006D1664"/>
    <w:rsid w:val="006D185E"/>
    <w:rsid w:val="006D1A3A"/>
    <w:rsid w:val="006D2737"/>
    <w:rsid w:val="006D3728"/>
    <w:rsid w:val="006D3B6E"/>
    <w:rsid w:val="006D63CA"/>
    <w:rsid w:val="006E0B44"/>
    <w:rsid w:val="006E1405"/>
    <w:rsid w:val="006E16EF"/>
    <w:rsid w:val="006E174E"/>
    <w:rsid w:val="006E1F24"/>
    <w:rsid w:val="006E26A2"/>
    <w:rsid w:val="006E29EB"/>
    <w:rsid w:val="006E3595"/>
    <w:rsid w:val="006E3CD1"/>
    <w:rsid w:val="006E511A"/>
    <w:rsid w:val="006E5196"/>
    <w:rsid w:val="006E664A"/>
    <w:rsid w:val="006E6D3A"/>
    <w:rsid w:val="006E71A8"/>
    <w:rsid w:val="006F1873"/>
    <w:rsid w:val="006F26AA"/>
    <w:rsid w:val="006F29B7"/>
    <w:rsid w:val="006F2BAA"/>
    <w:rsid w:val="006F3697"/>
    <w:rsid w:val="006F3B4C"/>
    <w:rsid w:val="006F4D7B"/>
    <w:rsid w:val="006F58A0"/>
    <w:rsid w:val="006F5E7A"/>
    <w:rsid w:val="006F7013"/>
    <w:rsid w:val="0070078E"/>
    <w:rsid w:val="00701CB5"/>
    <w:rsid w:val="00702248"/>
    <w:rsid w:val="00702371"/>
    <w:rsid w:val="0070594E"/>
    <w:rsid w:val="00706C81"/>
    <w:rsid w:val="00706CC0"/>
    <w:rsid w:val="00706F24"/>
    <w:rsid w:val="0070744F"/>
    <w:rsid w:val="007076CD"/>
    <w:rsid w:val="00710C5C"/>
    <w:rsid w:val="00710D3B"/>
    <w:rsid w:val="00712C33"/>
    <w:rsid w:val="007137E6"/>
    <w:rsid w:val="007140C4"/>
    <w:rsid w:val="007201B0"/>
    <w:rsid w:val="00720591"/>
    <w:rsid w:val="00720722"/>
    <w:rsid w:val="00720EE8"/>
    <w:rsid w:val="0072170C"/>
    <w:rsid w:val="00721933"/>
    <w:rsid w:val="00722246"/>
    <w:rsid w:val="00724360"/>
    <w:rsid w:val="00724D58"/>
    <w:rsid w:val="0072671B"/>
    <w:rsid w:val="007302DE"/>
    <w:rsid w:val="007309D0"/>
    <w:rsid w:val="00731309"/>
    <w:rsid w:val="007335D8"/>
    <w:rsid w:val="00734F1E"/>
    <w:rsid w:val="007401EC"/>
    <w:rsid w:val="007408D1"/>
    <w:rsid w:val="00740DC9"/>
    <w:rsid w:val="007428F2"/>
    <w:rsid w:val="00745ABF"/>
    <w:rsid w:val="007464E0"/>
    <w:rsid w:val="00746775"/>
    <w:rsid w:val="007474A1"/>
    <w:rsid w:val="00747A4C"/>
    <w:rsid w:val="00751D4C"/>
    <w:rsid w:val="00754912"/>
    <w:rsid w:val="00754E40"/>
    <w:rsid w:val="00755A6D"/>
    <w:rsid w:val="00757B2E"/>
    <w:rsid w:val="007607E1"/>
    <w:rsid w:val="00760F13"/>
    <w:rsid w:val="007619E9"/>
    <w:rsid w:val="0076252C"/>
    <w:rsid w:val="00762A3B"/>
    <w:rsid w:val="007631AD"/>
    <w:rsid w:val="007642E7"/>
    <w:rsid w:val="00764F14"/>
    <w:rsid w:val="007658DD"/>
    <w:rsid w:val="00765AAC"/>
    <w:rsid w:val="0077114D"/>
    <w:rsid w:val="0077267F"/>
    <w:rsid w:val="00772D54"/>
    <w:rsid w:val="007732C4"/>
    <w:rsid w:val="00773B11"/>
    <w:rsid w:val="0077520A"/>
    <w:rsid w:val="007770A6"/>
    <w:rsid w:val="00777599"/>
    <w:rsid w:val="00777742"/>
    <w:rsid w:val="00780601"/>
    <w:rsid w:val="007808B6"/>
    <w:rsid w:val="007820C3"/>
    <w:rsid w:val="00782582"/>
    <w:rsid w:val="007826F4"/>
    <w:rsid w:val="007827F1"/>
    <w:rsid w:val="00782B32"/>
    <w:rsid w:val="00783E46"/>
    <w:rsid w:val="00784A49"/>
    <w:rsid w:val="00784E65"/>
    <w:rsid w:val="007852F1"/>
    <w:rsid w:val="00786126"/>
    <w:rsid w:val="00792A74"/>
    <w:rsid w:val="00792D2F"/>
    <w:rsid w:val="00793343"/>
    <w:rsid w:val="00793B98"/>
    <w:rsid w:val="00795758"/>
    <w:rsid w:val="00795FDE"/>
    <w:rsid w:val="0079634C"/>
    <w:rsid w:val="007973F2"/>
    <w:rsid w:val="00797B96"/>
    <w:rsid w:val="007A255C"/>
    <w:rsid w:val="007A30FB"/>
    <w:rsid w:val="007A5CF7"/>
    <w:rsid w:val="007A6122"/>
    <w:rsid w:val="007A7098"/>
    <w:rsid w:val="007A71C4"/>
    <w:rsid w:val="007A76FE"/>
    <w:rsid w:val="007B0438"/>
    <w:rsid w:val="007B2877"/>
    <w:rsid w:val="007B31A5"/>
    <w:rsid w:val="007B3F3E"/>
    <w:rsid w:val="007C0104"/>
    <w:rsid w:val="007C0ED0"/>
    <w:rsid w:val="007C0F1D"/>
    <w:rsid w:val="007C10B2"/>
    <w:rsid w:val="007C1E05"/>
    <w:rsid w:val="007C3CB7"/>
    <w:rsid w:val="007C4239"/>
    <w:rsid w:val="007C53C3"/>
    <w:rsid w:val="007C5743"/>
    <w:rsid w:val="007C66AF"/>
    <w:rsid w:val="007C7454"/>
    <w:rsid w:val="007C7B50"/>
    <w:rsid w:val="007D0FF2"/>
    <w:rsid w:val="007D1A6D"/>
    <w:rsid w:val="007D4DB6"/>
    <w:rsid w:val="007D507B"/>
    <w:rsid w:val="007D6DA9"/>
    <w:rsid w:val="007D7C6F"/>
    <w:rsid w:val="007D7CE7"/>
    <w:rsid w:val="007E11C0"/>
    <w:rsid w:val="007E44BE"/>
    <w:rsid w:val="007E4D56"/>
    <w:rsid w:val="007E53A4"/>
    <w:rsid w:val="007E53EF"/>
    <w:rsid w:val="007E6023"/>
    <w:rsid w:val="007E6BB1"/>
    <w:rsid w:val="007E73A4"/>
    <w:rsid w:val="007F00DF"/>
    <w:rsid w:val="007F05BB"/>
    <w:rsid w:val="007F0AE8"/>
    <w:rsid w:val="007F0B9B"/>
    <w:rsid w:val="007F24C7"/>
    <w:rsid w:val="007F28C5"/>
    <w:rsid w:val="007F2FAA"/>
    <w:rsid w:val="007F3A08"/>
    <w:rsid w:val="007F4099"/>
    <w:rsid w:val="007F6350"/>
    <w:rsid w:val="007F7947"/>
    <w:rsid w:val="007F7ECE"/>
    <w:rsid w:val="0080349C"/>
    <w:rsid w:val="008041E3"/>
    <w:rsid w:val="00805566"/>
    <w:rsid w:val="00805859"/>
    <w:rsid w:val="00805A76"/>
    <w:rsid w:val="0080603D"/>
    <w:rsid w:val="0080610A"/>
    <w:rsid w:val="008070E6"/>
    <w:rsid w:val="00807D82"/>
    <w:rsid w:val="0081163C"/>
    <w:rsid w:val="008130C6"/>
    <w:rsid w:val="0081347D"/>
    <w:rsid w:val="00817A06"/>
    <w:rsid w:val="00821842"/>
    <w:rsid w:val="00822764"/>
    <w:rsid w:val="008230DF"/>
    <w:rsid w:val="008238B6"/>
    <w:rsid w:val="008256C4"/>
    <w:rsid w:val="008268AF"/>
    <w:rsid w:val="00827138"/>
    <w:rsid w:val="00827808"/>
    <w:rsid w:val="00827F40"/>
    <w:rsid w:val="00831034"/>
    <w:rsid w:val="00831874"/>
    <w:rsid w:val="00831BF7"/>
    <w:rsid w:val="00831F69"/>
    <w:rsid w:val="00832375"/>
    <w:rsid w:val="0083431F"/>
    <w:rsid w:val="00834A10"/>
    <w:rsid w:val="00835E68"/>
    <w:rsid w:val="00836AA4"/>
    <w:rsid w:val="008378EE"/>
    <w:rsid w:val="00840BA6"/>
    <w:rsid w:val="00841BBD"/>
    <w:rsid w:val="0084286C"/>
    <w:rsid w:val="00842B13"/>
    <w:rsid w:val="00843113"/>
    <w:rsid w:val="0084703A"/>
    <w:rsid w:val="00847737"/>
    <w:rsid w:val="0084774B"/>
    <w:rsid w:val="00850537"/>
    <w:rsid w:val="00851991"/>
    <w:rsid w:val="00851B50"/>
    <w:rsid w:val="00853C43"/>
    <w:rsid w:val="00853D1A"/>
    <w:rsid w:val="0085684A"/>
    <w:rsid w:val="008577D8"/>
    <w:rsid w:val="00857F75"/>
    <w:rsid w:val="00860868"/>
    <w:rsid w:val="00861331"/>
    <w:rsid w:val="008615F6"/>
    <w:rsid w:val="00862508"/>
    <w:rsid w:val="0086319E"/>
    <w:rsid w:val="008651B2"/>
    <w:rsid w:val="008659DB"/>
    <w:rsid w:val="00867688"/>
    <w:rsid w:val="0087035E"/>
    <w:rsid w:val="0087234E"/>
    <w:rsid w:val="00874296"/>
    <w:rsid w:val="008752C9"/>
    <w:rsid w:val="00875B2C"/>
    <w:rsid w:val="00876BF8"/>
    <w:rsid w:val="00877382"/>
    <w:rsid w:val="00877453"/>
    <w:rsid w:val="008809AB"/>
    <w:rsid w:val="00881920"/>
    <w:rsid w:val="008820B5"/>
    <w:rsid w:val="0088297A"/>
    <w:rsid w:val="008838DC"/>
    <w:rsid w:val="00883AF7"/>
    <w:rsid w:val="00886AD0"/>
    <w:rsid w:val="00886C0D"/>
    <w:rsid w:val="00886C3F"/>
    <w:rsid w:val="00890B64"/>
    <w:rsid w:val="0089125E"/>
    <w:rsid w:val="00891C21"/>
    <w:rsid w:val="00892815"/>
    <w:rsid w:val="00894418"/>
    <w:rsid w:val="008950F2"/>
    <w:rsid w:val="0089533A"/>
    <w:rsid w:val="0089793A"/>
    <w:rsid w:val="00897C58"/>
    <w:rsid w:val="008A065C"/>
    <w:rsid w:val="008A5802"/>
    <w:rsid w:val="008A589A"/>
    <w:rsid w:val="008A5959"/>
    <w:rsid w:val="008A65A1"/>
    <w:rsid w:val="008A70DE"/>
    <w:rsid w:val="008A7D7E"/>
    <w:rsid w:val="008B158A"/>
    <w:rsid w:val="008B2A55"/>
    <w:rsid w:val="008B33CD"/>
    <w:rsid w:val="008B3C48"/>
    <w:rsid w:val="008B4086"/>
    <w:rsid w:val="008B4491"/>
    <w:rsid w:val="008B5140"/>
    <w:rsid w:val="008B69BD"/>
    <w:rsid w:val="008B7729"/>
    <w:rsid w:val="008C04B5"/>
    <w:rsid w:val="008C22C5"/>
    <w:rsid w:val="008C2720"/>
    <w:rsid w:val="008C7408"/>
    <w:rsid w:val="008D0DD2"/>
    <w:rsid w:val="008D24C7"/>
    <w:rsid w:val="008D2C60"/>
    <w:rsid w:val="008D3228"/>
    <w:rsid w:val="008D39A2"/>
    <w:rsid w:val="008D672F"/>
    <w:rsid w:val="008D6FB3"/>
    <w:rsid w:val="008D6FBE"/>
    <w:rsid w:val="008D761C"/>
    <w:rsid w:val="008E0999"/>
    <w:rsid w:val="008E0B00"/>
    <w:rsid w:val="008E116F"/>
    <w:rsid w:val="008E18E1"/>
    <w:rsid w:val="008E1AA5"/>
    <w:rsid w:val="008E2112"/>
    <w:rsid w:val="008E23CF"/>
    <w:rsid w:val="008E2A4F"/>
    <w:rsid w:val="008E2E2C"/>
    <w:rsid w:val="008E3D5F"/>
    <w:rsid w:val="008E52F1"/>
    <w:rsid w:val="008E54CF"/>
    <w:rsid w:val="008E5993"/>
    <w:rsid w:val="008E6851"/>
    <w:rsid w:val="008E7769"/>
    <w:rsid w:val="008E7CA7"/>
    <w:rsid w:val="008F0B7D"/>
    <w:rsid w:val="008F0F95"/>
    <w:rsid w:val="008F141B"/>
    <w:rsid w:val="008F1C32"/>
    <w:rsid w:val="008F1DBD"/>
    <w:rsid w:val="008F22D1"/>
    <w:rsid w:val="008F258C"/>
    <w:rsid w:val="008F2B64"/>
    <w:rsid w:val="008F33A2"/>
    <w:rsid w:val="008F3CA3"/>
    <w:rsid w:val="008F3D78"/>
    <w:rsid w:val="008F3EA5"/>
    <w:rsid w:val="008F40E0"/>
    <w:rsid w:val="008F489F"/>
    <w:rsid w:val="008F5038"/>
    <w:rsid w:val="008F51A8"/>
    <w:rsid w:val="008F5821"/>
    <w:rsid w:val="008F597F"/>
    <w:rsid w:val="008F6019"/>
    <w:rsid w:val="008F60FF"/>
    <w:rsid w:val="008F6468"/>
    <w:rsid w:val="009019A4"/>
    <w:rsid w:val="00901F50"/>
    <w:rsid w:val="009021D6"/>
    <w:rsid w:val="009041C9"/>
    <w:rsid w:val="00904F18"/>
    <w:rsid w:val="0090584D"/>
    <w:rsid w:val="00907FFA"/>
    <w:rsid w:val="0091053F"/>
    <w:rsid w:val="009107F1"/>
    <w:rsid w:val="00911F37"/>
    <w:rsid w:val="00911FFD"/>
    <w:rsid w:val="0091298B"/>
    <w:rsid w:val="00913469"/>
    <w:rsid w:val="009135FB"/>
    <w:rsid w:val="00913872"/>
    <w:rsid w:val="009138E9"/>
    <w:rsid w:val="00916708"/>
    <w:rsid w:val="00917A6D"/>
    <w:rsid w:val="00917E06"/>
    <w:rsid w:val="00920C15"/>
    <w:rsid w:val="00921E15"/>
    <w:rsid w:val="009222B8"/>
    <w:rsid w:val="009242DC"/>
    <w:rsid w:val="0092502F"/>
    <w:rsid w:val="0092504C"/>
    <w:rsid w:val="00925452"/>
    <w:rsid w:val="0092555B"/>
    <w:rsid w:val="00925806"/>
    <w:rsid w:val="0092669B"/>
    <w:rsid w:val="0092686F"/>
    <w:rsid w:val="0092779D"/>
    <w:rsid w:val="00927A20"/>
    <w:rsid w:val="009323BD"/>
    <w:rsid w:val="00933033"/>
    <w:rsid w:val="009334E3"/>
    <w:rsid w:val="00934BB9"/>
    <w:rsid w:val="00934DFE"/>
    <w:rsid w:val="00935487"/>
    <w:rsid w:val="00935518"/>
    <w:rsid w:val="0093581B"/>
    <w:rsid w:val="009358E3"/>
    <w:rsid w:val="00935D20"/>
    <w:rsid w:val="00936326"/>
    <w:rsid w:val="00936AC0"/>
    <w:rsid w:val="009371A2"/>
    <w:rsid w:val="00937805"/>
    <w:rsid w:val="00940C14"/>
    <w:rsid w:val="00940E86"/>
    <w:rsid w:val="00941678"/>
    <w:rsid w:val="00941A2D"/>
    <w:rsid w:val="00941D37"/>
    <w:rsid w:val="00943E6E"/>
    <w:rsid w:val="009448A6"/>
    <w:rsid w:val="00944D00"/>
    <w:rsid w:val="00947110"/>
    <w:rsid w:val="00952FE9"/>
    <w:rsid w:val="00953821"/>
    <w:rsid w:val="00954138"/>
    <w:rsid w:val="009547E6"/>
    <w:rsid w:val="00955113"/>
    <w:rsid w:val="0095762A"/>
    <w:rsid w:val="00957CD6"/>
    <w:rsid w:val="009604EC"/>
    <w:rsid w:val="00960834"/>
    <w:rsid w:val="00961000"/>
    <w:rsid w:val="009617E6"/>
    <w:rsid w:val="009624C7"/>
    <w:rsid w:val="0096264A"/>
    <w:rsid w:val="00962C57"/>
    <w:rsid w:val="00963194"/>
    <w:rsid w:val="0096422D"/>
    <w:rsid w:val="009661E5"/>
    <w:rsid w:val="00966254"/>
    <w:rsid w:val="00966AB2"/>
    <w:rsid w:val="00971C94"/>
    <w:rsid w:val="00971FB7"/>
    <w:rsid w:val="00972BF5"/>
    <w:rsid w:val="009740A9"/>
    <w:rsid w:val="00975308"/>
    <w:rsid w:val="009755E5"/>
    <w:rsid w:val="00976FDD"/>
    <w:rsid w:val="009771B6"/>
    <w:rsid w:val="009829E5"/>
    <w:rsid w:val="00983E2A"/>
    <w:rsid w:val="009843E0"/>
    <w:rsid w:val="0098597B"/>
    <w:rsid w:val="00986962"/>
    <w:rsid w:val="00987E44"/>
    <w:rsid w:val="00991ADD"/>
    <w:rsid w:val="00991D74"/>
    <w:rsid w:val="00993202"/>
    <w:rsid w:val="009935F9"/>
    <w:rsid w:val="00993AA3"/>
    <w:rsid w:val="00993C21"/>
    <w:rsid w:val="0099400E"/>
    <w:rsid w:val="00994DC2"/>
    <w:rsid w:val="00995F35"/>
    <w:rsid w:val="00996483"/>
    <w:rsid w:val="009A03E4"/>
    <w:rsid w:val="009A0F3B"/>
    <w:rsid w:val="009A1144"/>
    <w:rsid w:val="009A1A40"/>
    <w:rsid w:val="009A1C19"/>
    <w:rsid w:val="009A381B"/>
    <w:rsid w:val="009A4225"/>
    <w:rsid w:val="009A430F"/>
    <w:rsid w:val="009A434F"/>
    <w:rsid w:val="009A4390"/>
    <w:rsid w:val="009A62C1"/>
    <w:rsid w:val="009A6B05"/>
    <w:rsid w:val="009A7EC5"/>
    <w:rsid w:val="009B2F06"/>
    <w:rsid w:val="009B5082"/>
    <w:rsid w:val="009B64A7"/>
    <w:rsid w:val="009B64C8"/>
    <w:rsid w:val="009B7096"/>
    <w:rsid w:val="009C03D8"/>
    <w:rsid w:val="009C3DE4"/>
    <w:rsid w:val="009C51E7"/>
    <w:rsid w:val="009C54CB"/>
    <w:rsid w:val="009C6166"/>
    <w:rsid w:val="009C642C"/>
    <w:rsid w:val="009C65BC"/>
    <w:rsid w:val="009D0ACF"/>
    <w:rsid w:val="009D158E"/>
    <w:rsid w:val="009D1FB6"/>
    <w:rsid w:val="009D2788"/>
    <w:rsid w:val="009D27EA"/>
    <w:rsid w:val="009D3849"/>
    <w:rsid w:val="009D422D"/>
    <w:rsid w:val="009D585C"/>
    <w:rsid w:val="009D75AD"/>
    <w:rsid w:val="009E2615"/>
    <w:rsid w:val="009E2D0B"/>
    <w:rsid w:val="009E2EF2"/>
    <w:rsid w:val="009E3B15"/>
    <w:rsid w:val="009E3B3D"/>
    <w:rsid w:val="009E3C6B"/>
    <w:rsid w:val="009E3D36"/>
    <w:rsid w:val="009E4498"/>
    <w:rsid w:val="009E4BC0"/>
    <w:rsid w:val="009E5CB7"/>
    <w:rsid w:val="009E6204"/>
    <w:rsid w:val="009E6350"/>
    <w:rsid w:val="009F0338"/>
    <w:rsid w:val="009F058B"/>
    <w:rsid w:val="009F0A77"/>
    <w:rsid w:val="009F0DC3"/>
    <w:rsid w:val="009F3121"/>
    <w:rsid w:val="009F35C1"/>
    <w:rsid w:val="009F3811"/>
    <w:rsid w:val="009F41F7"/>
    <w:rsid w:val="009F423F"/>
    <w:rsid w:val="009F4394"/>
    <w:rsid w:val="009F4467"/>
    <w:rsid w:val="009F4FC7"/>
    <w:rsid w:val="009F5D1D"/>
    <w:rsid w:val="00A001AD"/>
    <w:rsid w:val="00A00C08"/>
    <w:rsid w:val="00A01DF1"/>
    <w:rsid w:val="00A01F86"/>
    <w:rsid w:val="00A02E51"/>
    <w:rsid w:val="00A02EF4"/>
    <w:rsid w:val="00A04DCC"/>
    <w:rsid w:val="00A05216"/>
    <w:rsid w:val="00A05543"/>
    <w:rsid w:val="00A058DE"/>
    <w:rsid w:val="00A07594"/>
    <w:rsid w:val="00A10429"/>
    <w:rsid w:val="00A126E9"/>
    <w:rsid w:val="00A13F2A"/>
    <w:rsid w:val="00A14022"/>
    <w:rsid w:val="00A14FFC"/>
    <w:rsid w:val="00A15DB4"/>
    <w:rsid w:val="00A15EF0"/>
    <w:rsid w:val="00A170C8"/>
    <w:rsid w:val="00A201FD"/>
    <w:rsid w:val="00A20465"/>
    <w:rsid w:val="00A20D32"/>
    <w:rsid w:val="00A21536"/>
    <w:rsid w:val="00A21E60"/>
    <w:rsid w:val="00A2457D"/>
    <w:rsid w:val="00A24584"/>
    <w:rsid w:val="00A24C7E"/>
    <w:rsid w:val="00A2577E"/>
    <w:rsid w:val="00A25D1D"/>
    <w:rsid w:val="00A30EBE"/>
    <w:rsid w:val="00A31CDA"/>
    <w:rsid w:val="00A33719"/>
    <w:rsid w:val="00A33CCE"/>
    <w:rsid w:val="00A35F67"/>
    <w:rsid w:val="00A4191D"/>
    <w:rsid w:val="00A42A7F"/>
    <w:rsid w:val="00A43145"/>
    <w:rsid w:val="00A432F5"/>
    <w:rsid w:val="00A444B0"/>
    <w:rsid w:val="00A447A4"/>
    <w:rsid w:val="00A44984"/>
    <w:rsid w:val="00A46CF9"/>
    <w:rsid w:val="00A50160"/>
    <w:rsid w:val="00A51C1D"/>
    <w:rsid w:val="00A5345D"/>
    <w:rsid w:val="00A537A2"/>
    <w:rsid w:val="00A559BA"/>
    <w:rsid w:val="00A57B8E"/>
    <w:rsid w:val="00A603E2"/>
    <w:rsid w:val="00A62BB6"/>
    <w:rsid w:val="00A63622"/>
    <w:rsid w:val="00A64B44"/>
    <w:rsid w:val="00A64FC2"/>
    <w:rsid w:val="00A65DA3"/>
    <w:rsid w:val="00A66235"/>
    <w:rsid w:val="00A6773C"/>
    <w:rsid w:val="00A67F2F"/>
    <w:rsid w:val="00A705FF"/>
    <w:rsid w:val="00A70D3B"/>
    <w:rsid w:val="00A7146B"/>
    <w:rsid w:val="00A73AD4"/>
    <w:rsid w:val="00A73B36"/>
    <w:rsid w:val="00A744F5"/>
    <w:rsid w:val="00A762CD"/>
    <w:rsid w:val="00A7647F"/>
    <w:rsid w:val="00A76550"/>
    <w:rsid w:val="00A766B0"/>
    <w:rsid w:val="00A77318"/>
    <w:rsid w:val="00A77720"/>
    <w:rsid w:val="00A814D7"/>
    <w:rsid w:val="00A82F0E"/>
    <w:rsid w:val="00A84265"/>
    <w:rsid w:val="00A847DE"/>
    <w:rsid w:val="00A86C27"/>
    <w:rsid w:val="00A9046E"/>
    <w:rsid w:val="00A91782"/>
    <w:rsid w:val="00A91A4E"/>
    <w:rsid w:val="00A91B69"/>
    <w:rsid w:val="00A93006"/>
    <w:rsid w:val="00A94379"/>
    <w:rsid w:val="00A94E13"/>
    <w:rsid w:val="00A95CD8"/>
    <w:rsid w:val="00A96526"/>
    <w:rsid w:val="00AA1B47"/>
    <w:rsid w:val="00AA1CFA"/>
    <w:rsid w:val="00AA3DE4"/>
    <w:rsid w:val="00AA611E"/>
    <w:rsid w:val="00AA7754"/>
    <w:rsid w:val="00AA7AED"/>
    <w:rsid w:val="00AB1FAB"/>
    <w:rsid w:val="00AB395C"/>
    <w:rsid w:val="00AB39CF"/>
    <w:rsid w:val="00AB3C22"/>
    <w:rsid w:val="00AB3F8A"/>
    <w:rsid w:val="00AB4326"/>
    <w:rsid w:val="00AB5F5C"/>
    <w:rsid w:val="00AB7A5A"/>
    <w:rsid w:val="00AB7AEA"/>
    <w:rsid w:val="00AB7E08"/>
    <w:rsid w:val="00AC1EB3"/>
    <w:rsid w:val="00AC2C2C"/>
    <w:rsid w:val="00AC528B"/>
    <w:rsid w:val="00AC64F9"/>
    <w:rsid w:val="00AC6E86"/>
    <w:rsid w:val="00AC7726"/>
    <w:rsid w:val="00AC7E51"/>
    <w:rsid w:val="00AD032C"/>
    <w:rsid w:val="00AD0890"/>
    <w:rsid w:val="00AD21E6"/>
    <w:rsid w:val="00AD242F"/>
    <w:rsid w:val="00AD2DAF"/>
    <w:rsid w:val="00AD46E8"/>
    <w:rsid w:val="00AD6656"/>
    <w:rsid w:val="00AE0ABE"/>
    <w:rsid w:val="00AE2732"/>
    <w:rsid w:val="00AE4668"/>
    <w:rsid w:val="00AE4EB9"/>
    <w:rsid w:val="00AE5543"/>
    <w:rsid w:val="00AE5D46"/>
    <w:rsid w:val="00AE63C8"/>
    <w:rsid w:val="00AE76B0"/>
    <w:rsid w:val="00AE76F3"/>
    <w:rsid w:val="00AF1718"/>
    <w:rsid w:val="00AF1AA3"/>
    <w:rsid w:val="00AF4037"/>
    <w:rsid w:val="00AF4CEC"/>
    <w:rsid w:val="00AF5A43"/>
    <w:rsid w:val="00B02FE3"/>
    <w:rsid w:val="00B033C7"/>
    <w:rsid w:val="00B035AE"/>
    <w:rsid w:val="00B03EBA"/>
    <w:rsid w:val="00B04369"/>
    <w:rsid w:val="00B0496A"/>
    <w:rsid w:val="00B0687F"/>
    <w:rsid w:val="00B07488"/>
    <w:rsid w:val="00B1084B"/>
    <w:rsid w:val="00B11658"/>
    <w:rsid w:val="00B116D6"/>
    <w:rsid w:val="00B11F1F"/>
    <w:rsid w:val="00B130D6"/>
    <w:rsid w:val="00B1417B"/>
    <w:rsid w:val="00B16D43"/>
    <w:rsid w:val="00B16F3F"/>
    <w:rsid w:val="00B1791C"/>
    <w:rsid w:val="00B17B3D"/>
    <w:rsid w:val="00B20B71"/>
    <w:rsid w:val="00B212E5"/>
    <w:rsid w:val="00B23578"/>
    <w:rsid w:val="00B24255"/>
    <w:rsid w:val="00B24305"/>
    <w:rsid w:val="00B2514F"/>
    <w:rsid w:val="00B256A9"/>
    <w:rsid w:val="00B25A95"/>
    <w:rsid w:val="00B25F8F"/>
    <w:rsid w:val="00B2690C"/>
    <w:rsid w:val="00B3195C"/>
    <w:rsid w:val="00B32F8A"/>
    <w:rsid w:val="00B33896"/>
    <w:rsid w:val="00B3416C"/>
    <w:rsid w:val="00B373D4"/>
    <w:rsid w:val="00B406F7"/>
    <w:rsid w:val="00B41A15"/>
    <w:rsid w:val="00B41C3A"/>
    <w:rsid w:val="00B4208D"/>
    <w:rsid w:val="00B42AC8"/>
    <w:rsid w:val="00B431BB"/>
    <w:rsid w:val="00B4381E"/>
    <w:rsid w:val="00B43B0C"/>
    <w:rsid w:val="00B448D9"/>
    <w:rsid w:val="00B44F2E"/>
    <w:rsid w:val="00B46A9A"/>
    <w:rsid w:val="00B47B85"/>
    <w:rsid w:val="00B512A1"/>
    <w:rsid w:val="00B516B4"/>
    <w:rsid w:val="00B54A91"/>
    <w:rsid w:val="00B54EDC"/>
    <w:rsid w:val="00B56254"/>
    <w:rsid w:val="00B609A0"/>
    <w:rsid w:val="00B611B8"/>
    <w:rsid w:val="00B6369E"/>
    <w:rsid w:val="00B641FA"/>
    <w:rsid w:val="00B662E1"/>
    <w:rsid w:val="00B66639"/>
    <w:rsid w:val="00B66FE6"/>
    <w:rsid w:val="00B67D44"/>
    <w:rsid w:val="00B7114D"/>
    <w:rsid w:val="00B71268"/>
    <w:rsid w:val="00B7203B"/>
    <w:rsid w:val="00B7214A"/>
    <w:rsid w:val="00B72CBD"/>
    <w:rsid w:val="00B72DCE"/>
    <w:rsid w:val="00B73309"/>
    <w:rsid w:val="00B74E3F"/>
    <w:rsid w:val="00B76B0A"/>
    <w:rsid w:val="00B8043E"/>
    <w:rsid w:val="00B813F2"/>
    <w:rsid w:val="00B81AA3"/>
    <w:rsid w:val="00B83491"/>
    <w:rsid w:val="00B836E1"/>
    <w:rsid w:val="00B83DEB"/>
    <w:rsid w:val="00B84D2E"/>
    <w:rsid w:val="00B86EB2"/>
    <w:rsid w:val="00B86F0D"/>
    <w:rsid w:val="00B8798F"/>
    <w:rsid w:val="00B9034F"/>
    <w:rsid w:val="00B9121B"/>
    <w:rsid w:val="00B91588"/>
    <w:rsid w:val="00B9162A"/>
    <w:rsid w:val="00B92038"/>
    <w:rsid w:val="00B921EB"/>
    <w:rsid w:val="00B92B01"/>
    <w:rsid w:val="00B937C1"/>
    <w:rsid w:val="00B95862"/>
    <w:rsid w:val="00B97DA2"/>
    <w:rsid w:val="00BA02BD"/>
    <w:rsid w:val="00BA0CFE"/>
    <w:rsid w:val="00BA124F"/>
    <w:rsid w:val="00BA1B53"/>
    <w:rsid w:val="00BA1B98"/>
    <w:rsid w:val="00BA27A6"/>
    <w:rsid w:val="00BA3038"/>
    <w:rsid w:val="00BA3D33"/>
    <w:rsid w:val="00BA4046"/>
    <w:rsid w:val="00BA45D4"/>
    <w:rsid w:val="00BA5EB6"/>
    <w:rsid w:val="00BA6B8D"/>
    <w:rsid w:val="00BB0327"/>
    <w:rsid w:val="00BB3563"/>
    <w:rsid w:val="00BB42A2"/>
    <w:rsid w:val="00BB4680"/>
    <w:rsid w:val="00BB5093"/>
    <w:rsid w:val="00BB6C36"/>
    <w:rsid w:val="00BB715A"/>
    <w:rsid w:val="00BB7540"/>
    <w:rsid w:val="00BB7B78"/>
    <w:rsid w:val="00BC01A2"/>
    <w:rsid w:val="00BC023A"/>
    <w:rsid w:val="00BC037D"/>
    <w:rsid w:val="00BC25DF"/>
    <w:rsid w:val="00BC29D7"/>
    <w:rsid w:val="00BC4F2C"/>
    <w:rsid w:val="00BC5A12"/>
    <w:rsid w:val="00BC5AD7"/>
    <w:rsid w:val="00BC6117"/>
    <w:rsid w:val="00BC61A9"/>
    <w:rsid w:val="00BC62B5"/>
    <w:rsid w:val="00BC7497"/>
    <w:rsid w:val="00BC749F"/>
    <w:rsid w:val="00BC7E37"/>
    <w:rsid w:val="00BD1ABC"/>
    <w:rsid w:val="00BD2456"/>
    <w:rsid w:val="00BD2740"/>
    <w:rsid w:val="00BD44F1"/>
    <w:rsid w:val="00BD46ED"/>
    <w:rsid w:val="00BD516B"/>
    <w:rsid w:val="00BD6289"/>
    <w:rsid w:val="00BD765B"/>
    <w:rsid w:val="00BE08AE"/>
    <w:rsid w:val="00BE1588"/>
    <w:rsid w:val="00BE18C3"/>
    <w:rsid w:val="00BE1CDF"/>
    <w:rsid w:val="00BE1D44"/>
    <w:rsid w:val="00BE5254"/>
    <w:rsid w:val="00BE5418"/>
    <w:rsid w:val="00BE615F"/>
    <w:rsid w:val="00BE6F28"/>
    <w:rsid w:val="00BE7A0F"/>
    <w:rsid w:val="00BE7E6A"/>
    <w:rsid w:val="00BF161D"/>
    <w:rsid w:val="00BF19BA"/>
    <w:rsid w:val="00BF1F2A"/>
    <w:rsid w:val="00BF2B71"/>
    <w:rsid w:val="00BF2CD3"/>
    <w:rsid w:val="00BF2F78"/>
    <w:rsid w:val="00BF3769"/>
    <w:rsid w:val="00BF3CEF"/>
    <w:rsid w:val="00BF3E00"/>
    <w:rsid w:val="00BF4166"/>
    <w:rsid w:val="00BF4B7B"/>
    <w:rsid w:val="00BF4FEE"/>
    <w:rsid w:val="00BF5552"/>
    <w:rsid w:val="00BF6366"/>
    <w:rsid w:val="00BF6A00"/>
    <w:rsid w:val="00C00046"/>
    <w:rsid w:val="00C00EE2"/>
    <w:rsid w:val="00C00F66"/>
    <w:rsid w:val="00C01FBE"/>
    <w:rsid w:val="00C027DE"/>
    <w:rsid w:val="00C02E5C"/>
    <w:rsid w:val="00C03D1D"/>
    <w:rsid w:val="00C05355"/>
    <w:rsid w:val="00C05D5F"/>
    <w:rsid w:val="00C05DE7"/>
    <w:rsid w:val="00C0765D"/>
    <w:rsid w:val="00C079AD"/>
    <w:rsid w:val="00C10151"/>
    <w:rsid w:val="00C10FB1"/>
    <w:rsid w:val="00C11D5C"/>
    <w:rsid w:val="00C13046"/>
    <w:rsid w:val="00C131BC"/>
    <w:rsid w:val="00C137BB"/>
    <w:rsid w:val="00C138C8"/>
    <w:rsid w:val="00C139C3"/>
    <w:rsid w:val="00C17EC9"/>
    <w:rsid w:val="00C20ABE"/>
    <w:rsid w:val="00C23385"/>
    <w:rsid w:val="00C2569A"/>
    <w:rsid w:val="00C256A8"/>
    <w:rsid w:val="00C25854"/>
    <w:rsid w:val="00C26B98"/>
    <w:rsid w:val="00C272BD"/>
    <w:rsid w:val="00C3110A"/>
    <w:rsid w:val="00C317FD"/>
    <w:rsid w:val="00C31A51"/>
    <w:rsid w:val="00C34D07"/>
    <w:rsid w:val="00C37695"/>
    <w:rsid w:val="00C4002A"/>
    <w:rsid w:val="00C4097D"/>
    <w:rsid w:val="00C41372"/>
    <w:rsid w:val="00C42289"/>
    <w:rsid w:val="00C4248F"/>
    <w:rsid w:val="00C439D9"/>
    <w:rsid w:val="00C43A8E"/>
    <w:rsid w:val="00C43FCE"/>
    <w:rsid w:val="00C44856"/>
    <w:rsid w:val="00C45089"/>
    <w:rsid w:val="00C4525C"/>
    <w:rsid w:val="00C45DAC"/>
    <w:rsid w:val="00C46768"/>
    <w:rsid w:val="00C50217"/>
    <w:rsid w:val="00C502C0"/>
    <w:rsid w:val="00C50BF6"/>
    <w:rsid w:val="00C51D8C"/>
    <w:rsid w:val="00C5224A"/>
    <w:rsid w:val="00C538AE"/>
    <w:rsid w:val="00C54408"/>
    <w:rsid w:val="00C5461A"/>
    <w:rsid w:val="00C5472B"/>
    <w:rsid w:val="00C54D3F"/>
    <w:rsid w:val="00C5710B"/>
    <w:rsid w:val="00C57F2E"/>
    <w:rsid w:val="00C60EE3"/>
    <w:rsid w:val="00C62071"/>
    <w:rsid w:val="00C6290C"/>
    <w:rsid w:val="00C63B6E"/>
    <w:rsid w:val="00C6413F"/>
    <w:rsid w:val="00C6454F"/>
    <w:rsid w:val="00C65F3B"/>
    <w:rsid w:val="00C666FB"/>
    <w:rsid w:val="00C66889"/>
    <w:rsid w:val="00C7061A"/>
    <w:rsid w:val="00C72A8A"/>
    <w:rsid w:val="00C72AC4"/>
    <w:rsid w:val="00C731D3"/>
    <w:rsid w:val="00C7438A"/>
    <w:rsid w:val="00C754D6"/>
    <w:rsid w:val="00C75CB0"/>
    <w:rsid w:val="00C76734"/>
    <w:rsid w:val="00C76A6F"/>
    <w:rsid w:val="00C80A4B"/>
    <w:rsid w:val="00C8125A"/>
    <w:rsid w:val="00C8148A"/>
    <w:rsid w:val="00C8270D"/>
    <w:rsid w:val="00C82853"/>
    <w:rsid w:val="00C8509E"/>
    <w:rsid w:val="00C858DF"/>
    <w:rsid w:val="00C85B97"/>
    <w:rsid w:val="00C85D39"/>
    <w:rsid w:val="00C86079"/>
    <w:rsid w:val="00C876E5"/>
    <w:rsid w:val="00C908C6"/>
    <w:rsid w:val="00C914FF"/>
    <w:rsid w:val="00C916E3"/>
    <w:rsid w:val="00C917FD"/>
    <w:rsid w:val="00C91CF1"/>
    <w:rsid w:val="00C92A0C"/>
    <w:rsid w:val="00C936BA"/>
    <w:rsid w:val="00C93DB3"/>
    <w:rsid w:val="00C957C1"/>
    <w:rsid w:val="00C9665D"/>
    <w:rsid w:val="00C9704C"/>
    <w:rsid w:val="00C97553"/>
    <w:rsid w:val="00C97D69"/>
    <w:rsid w:val="00CA01B0"/>
    <w:rsid w:val="00CA05A2"/>
    <w:rsid w:val="00CA25C9"/>
    <w:rsid w:val="00CA3CEE"/>
    <w:rsid w:val="00CA4114"/>
    <w:rsid w:val="00CA48CE"/>
    <w:rsid w:val="00CA48ED"/>
    <w:rsid w:val="00CA4B44"/>
    <w:rsid w:val="00CA52B8"/>
    <w:rsid w:val="00CA5541"/>
    <w:rsid w:val="00CA5B80"/>
    <w:rsid w:val="00CA5D24"/>
    <w:rsid w:val="00CA6AE6"/>
    <w:rsid w:val="00CB1D5B"/>
    <w:rsid w:val="00CB339B"/>
    <w:rsid w:val="00CB391E"/>
    <w:rsid w:val="00CB44E2"/>
    <w:rsid w:val="00CB4FC1"/>
    <w:rsid w:val="00CB594A"/>
    <w:rsid w:val="00CB65F6"/>
    <w:rsid w:val="00CB7110"/>
    <w:rsid w:val="00CC0054"/>
    <w:rsid w:val="00CC0EDD"/>
    <w:rsid w:val="00CC1177"/>
    <w:rsid w:val="00CC18BD"/>
    <w:rsid w:val="00CC1DFC"/>
    <w:rsid w:val="00CC2E76"/>
    <w:rsid w:val="00CC344D"/>
    <w:rsid w:val="00CC54C0"/>
    <w:rsid w:val="00CC564C"/>
    <w:rsid w:val="00CC6CB8"/>
    <w:rsid w:val="00CC6FFA"/>
    <w:rsid w:val="00CC76B7"/>
    <w:rsid w:val="00CC76F9"/>
    <w:rsid w:val="00CD0AC0"/>
    <w:rsid w:val="00CD0B93"/>
    <w:rsid w:val="00CD13EA"/>
    <w:rsid w:val="00CD1CB0"/>
    <w:rsid w:val="00CD27F6"/>
    <w:rsid w:val="00CD31B2"/>
    <w:rsid w:val="00CD31C9"/>
    <w:rsid w:val="00CD3718"/>
    <w:rsid w:val="00CD3B2D"/>
    <w:rsid w:val="00CD4862"/>
    <w:rsid w:val="00CD4D09"/>
    <w:rsid w:val="00CD7DF6"/>
    <w:rsid w:val="00CE03E0"/>
    <w:rsid w:val="00CE2A63"/>
    <w:rsid w:val="00CE352F"/>
    <w:rsid w:val="00CE44B2"/>
    <w:rsid w:val="00CE60D3"/>
    <w:rsid w:val="00CE6A09"/>
    <w:rsid w:val="00CE6E67"/>
    <w:rsid w:val="00CE74EF"/>
    <w:rsid w:val="00CE7776"/>
    <w:rsid w:val="00CE7B6D"/>
    <w:rsid w:val="00CF10E4"/>
    <w:rsid w:val="00CF1272"/>
    <w:rsid w:val="00CF362B"/>
    <w:rsid w:val="00CF567A"/>
    <w:rsid w:val="00CF56C0"/>
    <w:rsid w:val="00CF5F2A"/>
    <w:rsid w:val="00D03223"/>
    <w:rsid w:val="00D0341A"/>
    <w:rsid w:val="00D03DF5"/>
    <w:rsid w:val="00D04398"/>
    <w:rsid w:val="00D05BB0"/>
    <w:rsid w:val="00D05D84"/>
    <w:rsid w:val="00D103A4"/>
    <w:rsid w:val="00D11D86"/>
    <w:rsid w:val="00D12264"/>
    <w:rsid w:val="00D12687"/>
    <w:rsid w:val="00D1446F"/>
    <w:rsid w:val="00D14A8B"/>
    <w:rsid w:val="00D14C07"/>
    <w:rsid w:val="00D15156"/>
    <w:rsid w:val="00D17B24"/>
    <w:rsid w:val="00D212AC"/>
    <w:rsid w:val="00D2286C"/>
    <w:rsid w:val="00D22F90"/>
    <w:rsid w:val="00D23668"/>
    <w:rsid w:val="00D237CB"/>
    <w:rsid w:val="00D23C9E"/>
    <w:rsid w:val="00D24964"/>
    <w:rsid w:val="00D24EC3"/>
    <w:rsid w:val="00D254B2"/>
    <w:rsid w:val="00D25726"/>
    <w:rsid w:val="00D25AC1"/>
    <w:rsid w:val="00D25B5C"/>
    <w:rsid w:val="00D2614F"/>
    <w:rsid w:val="00D26831"/>
    <w:rsid w:val="00D26DBC"/>
    <w:rsid w:val="00D274DB"/>
    <w:rsid w:val="00D27ABD"/>
    <w:rsid w:val="00D27EC6"/>
    <w:rsid w:val="00D302A6"/>
    <w:rsid w:val="00D30654"/>
    <w:rsid w:val="00D323F3"/>
    <w:rsid w:val="00D333F0"/>
    <w:rsid w:val="00D33E04"/>
    <w:rsid w:val="00D347EC"/>
    <w:rsid w:val="00D34F98"/>
    <w:rsid w:val="00D35D26"/>
    <w:rsid w:val="00D360FB"/>
    <w:rsid w:val="00D36C16"/>
    <w:rsid w:val="00D40848"/>
    <w:rsid w:val="00D4100C"/>
    <w:rsid w:val="00D410C2"/>
    <w:rsid w:val="00D41487"/>
    <w:rsid w:val="00D4430C"/>
    <w:rsid w:val="00D44704"/>
    <w:rsid w:val="00D455DC"/>
    <w:rsid w:val="00D457DD"/>
    <w:rsid w:val="00D45AB1"/>
    <w:rsid w:val="00D45E71"/>
    <w:rsid w:val="00D46F8E"/>
    <w:rsid w:val="00D470AE"/>
    <w:rsid w:val="00D50115"/>
    <w:rsid w:val="00D50813"/>
    <w:rsid w:val="00D50841"/>
    <w:rsid w:val="00D50C8E"/>
    <w:rsid w:val="00D51EC7"/>
    <w:rsid w:val="00D533E0"/>
    <w:rsid w:val="00D53D34"/>
    <w:rsid w:val="00D5551C"/>
    <w:rsid w:val="00D55683"/>
    <w:rsid w:val="00D5592A"/>
    <w:rsid w:val="00D56513"/>
    <w:rsid w:val="00D56A8F"/>
    <w:rsid w:val="00D56DBD"/>
    <w:rsid w:val="00D56F0B"/>
    <w:rsid w:val="00D60AE4"/>
    <w:rsid w:val="00D62517"/>
    <w:rsid w:val="00D63328"/>
    <w:rsid w:val="00D636E6"/>
    <w:rsid w:val="00D63A59"/>
    <w:rsid w:val="00D648AF"/>
    <w:rsid w:val="00D676CE"/>
    <w:rsid w:val="00D6793A"/>
    <w:rsid w:val="00D71448"/>
    <w:rsid w:val="00D716C7"/>
    <w:rsid w:val="00D71927"/>
    <w:rsid w:val="00D72404"/>
    <w:rsid w:val="00D72B49"/>
    <w:rsid w:val="00D74815"/>
    <w:rsid w:val="00D7482C"/>
    <w:rsid w:val="00D76C4E"/>
    <w:rsid w:val="00D770ED"/>
    <w:rsid w:val="00D80124"/>
    <w:rsid w:val="00D80320"/>
    <w:rsid w:val="00D807B1"/>
    <w:rsid w:val="00D81762"/>
    <w:rsid w:val="00D81EEF"/>
    <w:rsid w:val="00D823E8"/>
    <w:rsid w:val="00D82DD5"/>
    <w:rsid w:val="00D838B4"/>
    <w:rsid w:val="00D84CFC"/>
    <w:rsid w:val="00D865A3"/>
    <w:rsid w:val="00D86A49"/>
    <w:rsid w:val="00D90BBE"/>
    <w:rsid w:val="00D9121C"/>
    <w:rsid w:val="00D9136D"/>
    <w:rsid w:val="00D919F5"/>
    <w:rsid w:val="00D91DF6"/>
    <w:rsid w:val="00D929FF"/>
    <w:rsid w:val="00D94F2B"/>
    <w:rsid w:val="00D95216"/>
    <w:rsid w:val="00D9563D"/>
    <w:rsid w:val="00D963BA"/>
    <w:rsid w:val="00DA153C"/>
    <w:rsid w:val="00DA1788"/>
    <w:rsid w:val="00DA2F96"/>
    <w:rsid w:val="00DA5417"/>
    <w:rsid w:val="00DA5A4A"/>
    <w:rsid w:val="00DA5D3C"/>
    <w:rsid w:val="00DA68A2"/>
    <w:rsid w:val="00DA7041"/>
    <w:rsid w:val="00DA74C5"/>
    <w:rsid w:val="00DB1F45"/>
    <w:rsid w:val="00DB1F59"/>
    <w:rsid w:val="00DB2342"/>
    <w:rsid w:val="00DB25DE"/>
    <w:rsid w:val="00DB3A43"/>
    <w:rsid w:val="00DB3B40"/>
    <w:rsid w:val="00DB3FAB"/>
    <w:rsid w:val="00DB44B1"/>
    <w:rsid w:val="00DB4915"/>
    <w:rsid w:val="00DC237A"/>
    <w:rsid w:val="00DC38BA"/>
    <w:rsid w:val="00DC42D6"/>
    <w:rsid w:val="00DC61F3"/>
    <w:rsid w:val="00DC77EC"/>
    <w:rsid w:val="00DD2752"/>
    <w:rsid w:val="00DD294F"/>
    <w:rsid w:val="00DD3507"/>
    <w:rsid w:val="00DD3AA7"/>
    <w:rsid w:val="00DD4D3B"/>
    <w:rsid w:val="00DD5470"/>
    <w:rsid w:val="00DD6E27"/>
    <w:rsid w:val="00DD6E4F"/>
    <w:rsid w:val="00DD74CD"/>
    <w:rsid w:val="00DD7D94"/>
    <w:rsid w:val="00DE0DBF"/>
    <w:rsid w:val="00DE0FFF"/>
    <w:rsid w:val="00DE1251"/>
    <w:rsid w:val="00DE1E85"/>
    <w:rsid w:val="00DE57A1"/>
    <w:rsid w:val="00DE6048"/>
    <w:rsid w:val="00DE63A0"/>
    <w:rsid w:val="00DE669C"/>
    <w:rsid w:val="00DE799A"/>
    <w:rsid w:val="00DE7BF1"/>
    <w:rsid w:val="00DF0362"/>
    <w:rsid w:val="00DF0CCF"/>
    <w:rsid w:val="00DF217B"/>
    <w:rsid w:val="00DF26D6"/>
    <w:rsid w:val="00DF26F1"/>
    <w:rsid w:val="00DF3B17"/>
    <w:rsid w:val="00DF41BA"/>
    <w:rsid w:val="00DF5FBD"/>
    <w:rsid w:val="00DF76A1"/>
    <w:rsid w:val="00E00D08"/>
    <w:rsid w:val="00E01431"/>
    <w:rsid w:val="00E01B65"/>
    <w:rsid w:val="00E01C3C"/>
    <w:rsid w:val="00E02F6A"/>
    <w:rsid w:val="00E055BD"/>
    <w:rsid w:val="00E05DD8"/>
    <w:rsid w:val="00E05E9B"/>
    <w:rsid w:val="00E06C1A"/>
    <w:rsid w:val="00E0717B"/>
    <w:rsid w:val="00E072C5"/>
    <w:rsid w:val="00E1033D"/>
    <w:rsid w:val="00E10E4D"/>
    <w:rsid w:val="00E10F46"/>
    <w:rsid w:val="00E11F01"/>
    <w:rsid w:val="00E12322"/>
    <w:rsid w:val="00E12ABC"/>
    <w:rsid w:val="00E13C90"/>
    <w:rsid w:val="00E13D83"/>
    <w:rsid w:val="00E15482"/>
    <w:rsid w:val="00E1629E"/>
    <w:rsid w:val="00E1682A"/>
    <w:rsid w:val="00E22646"/>
    <w:rsid w:val="00E22E20"/>
    <w:rsid w:val="00E22F03"/>
    <w:rsid w:val="00E23B35"/>
    <w:rsid w:val="00E24A2C"/>
    <w:rsid w:val="00E276B6"/>
    <w:rsid w:val="00E308D7"/>
    <w:rsid w:val="00E30A29"/>
    <w:rsid w:val="00E35894"/>
    <w:rsid w:val="00E35B1B"/>
    <w:rsid w:val="00E35B45"/>
    <w:rsid w:val="00E36195"/>
    <w:rsid w:val="00E37291"/>
    <w:rsid w:val="00E40CC2"/>
    <w:rsid w:val="00E4167F"/>
    <w:rsid w:val="00E41BE1"/>
    <w:rsid w:val="00E41C8A"/>
    <w:rsid w:val="00E423EF"/>
    <w:rsid w:val="00E43A4B"/>
    <w:rsid w:val="00E44D78"/>
    <w:rsid w:val="00E45BF9"/>
    <w:rsid w:val="00E4676F"/>
    <w:rsid w:val="00E52F04"/>
    <w:rsid w:val="00E53DBE"/>
    <w:rsid w:val="00E5482D"/>
    <w:rsid w:val="00E55489"/>
    <w:rsid w:val="00E554D8"/>
    <w:rsid w:val="00E556BF"/>
    <w:rsid w:val="00E559F4"/>
    <w:rsid w:val="00E5685C"/>
    <w:rsid w:val="00E57DEA"/>
    <w:rsid w:val="00E60315"/>
    <w:rsid w:val="00E608A3"/>
    <w:rsid w:val="00E622F0"/>
    <w:rsid w:val="00E62682"/>
    <w:rsid w:val="00E6369B"/>
    <w:rsid w:val="00E63CD7"/>
    <w:rsid w:val="00E642B7"/>
    <w:rsid w:val="00E65C2E"/>
    <w:rsid w:val="00E66492"/>
    <w:rsid w:val="00E71E47"/>
    <w:rsid w:val="00E720B6"/>
    <w:rsid w:val="00E724EA"/>
    <w:rsid w:val="00E74D3F"/>
    <w:rsid w:val="00E75AA0"/>
    <w:rsid w:val="00E75C72"/>
    <w:rsid w:val="00E75EA8"/>
    <w:rsid w:val="00E7614E"/>
    <w:rsid w:val="00E81A01"/>
    <w:rsid w:val="00E82F40"/>
    <w:rsid w:val="00E83853"/>
    <w:rsid w:val="00E84BA3"/>
    <w:rsid w:val="00E84EF9"/>
    <w:rsid w:val="00E85291"/>
    <w:rsid w:val="00E85767"/>
    <w:rsid w:val="00E86A07"/>
    <w:rsid w:val="00E87210"/>
    <w:rsid w:val="00E87849"/>
    <w:rsid w:val="00E87BD1"/>
    <w:rsid w:val="00E87F5C"/>
    <w:rsid w:val="00E93536"/>
    <w:rsid w:val="00E93766"/>
    <w:rsid w:val="00E9454E"/>
    <w:rsid w:val="00E94D2B"/>
    <w:rsid w:val="00E94F86"/>
    <w:rsid w:val="00E95682"/>
    <w:rsid w:val="00E9716D"/>
    <w:rsid w:val="00E97C52"/>
    <w:rsid w:val="00E97F27"/>
    <w:rsid w:val="00EA0041"/>
    <w:rsid w:val="00EA0F81"/>
    <w:rsid w:val="00EA1765"/>
    <w:rsid w:val="00EA1A5F"/>
    <w:rsid w:val="00EA2599"/>
    <w:rsid w:val="00EA2968"/>
    <w:rsid w:val="00EA32DC"/>
    <w:rsid w:val="00EA3D79"/>
    <w:rsid w:val="00EA47CB"/>
    <w:rsid w:val="00EA47EA"/>
    <w:rsid w:val="00EA4D18"/>
    <w:rsid w:val="00EA5701"/>
    <w:rsid w:val="00EA7384"/>
    <w:rsid w:val="00EB14B5"/>
    <w:rsid w:val="00EB184D"/>
    <w:rsid w:val="00EB27EA"/>
    <w:rsid w:val="00EB2898"/>
    <w:rsid w:val="00EB2DA2"/>
    <w:rsid w:val="00EB3DD1"/>
    <w:rsid w:val="00EB424E"/>
    <w:rsid w:val="00EB4625"/>
    <w:rsid w:val="00EB4B05"/>
    <w:rsid w:val="00EB4D34"/>
    <w:rsid w:val="00EB4D57"/>
    <w:rsid w:val="00EB531C"/>
    <w:rsid w:val="00EB5F8E"/>
    <w:rsid w:val="00EB6351"/>
    <w:rsid w:val="00EB65F4"/>
    <w:rsid w:val="00EB6714"/>
    <w:rsid w:val="00EB6D02"/>
    <w:rsid w:val="00EB7480"/>
    <w:rsid w:val="00EC4313"/>
    <w:rsid w:val="00EC5A9D"/>
    <w:rsid w:val="00EC5ED7"/>
    <w:rsid w:val="00EC750B"/>
    <w:rsid w:val="00EC7AC8"/>
    <w:rsid w:val="00ED4AEE"/>
    <w:rsid w:val="00ED7256"/>
    <w:rsid w:val="00ED73E9"/>
    <w:rsid w:val="00ED7744"/>
    <w:rsid w:val="00ED77C0"/>
    <w:rsid w:val="00EE0150"/>
    <w:rsid w:val="00EE0524"/>
    <w:rsid w:val="00EE11BC"/>
    <w:rsid w:val="00EE28A7"/>
    <w:rsid w:val="00EE534C"/>
    <w:rsid w:val="00EE5CBF"/>
    <w:rsid w:val="00EE61B7"/>
    <w:rsid w:val="00EE6688"/>
    <w:rsid w:val="00EE6737"/>
    <w:rsid w:val="00EE7249"/>
    <w:rsid w:val="00EE7872"/>
    <w:rsid w:val="00EE7A75"/>
    <w:rsid w:val="00EF05F0"/>
    <w:rsid w:val="00EF1AA1"/>
    <w:rsid w:val="00EF1AAA"/>
    <w:rsid w:val="00EF2C7B"/>
    <w:rsid w:val="00EF552E"/>
    <w:rsid w:val="00EF558D"/>
    <w:rsid w:val="00EF624D"/>
    <w:rsid w:val="00EF6C37"/>
    <w:rsid w:val="00EF6C96"/>
    <w:rsid w:val="00F0191D"/>
    <w:rsid w:val="00F01BB7"/>
    <w:rsid w:val="00F024DD"/>
    <w:rsid w:val="00F02D52"/>
    <w:rsid w:val="00F05871"/>
    <w:rsid w:val="00F05FBB"/>
    <w:rsid w:val="00F060B4"/>
    <w:rsid w:val="00F065DB"/>
    <w:rsid w:val="00F10D4F"/>
    <w:rsid w:val="00F12131"/>
    <w:rsid w:val="00F1280C"/>
    <w:rsid w:val="00F13306"/>
    <w:rsid w:val="00F14D30"/>
    <w:rsid w:val="00F15235"/>
    <w:rsid w:val="00F204E2"/>
    <w:rsid w:val="00F22DBC"/>
    <w:rsid w:val="00F261BF"/>
    <w:rsid w:val="00F265C9"/>
    <w:rsid w:val="00F266D3"/>
    <w:rsid w:val="00F310D2"/>
    <w:rsid w:val="00F31215"/>
    <w:rsid w:val="00F31651"/>
    <w:rsid w:val="00F31BE9"/>
    <w:rsid w:val="00F33097"/>
    <w:rsid w:val="00F331DE"/>
    <w:rsid w:val="00F35F0D"/>
    <w:rsid w:val="00F36B0B"/>
    <w:rsid w:val="00F37C7A"/>
    <w:rsid w:val="00F40844"/>
    <w:rsid w:val="00F431E2"/>
    <w:rsid w:val="00F4360A"/>
    <w:rsid w:val="00F43A7C"/>
    <w:rsid w:val="00F45D52"/>
    <w:rsid w:val="00F46B75"/>
    <w:rsid w:val="00F46D22"/>
    <w:rsid w:val="00F47565"/>
    <w:rsid w:val="00F47DF1"/>
    <w:rsid w:val="00F47F37"/>
    <w:rsid w:val="00F51872"/>
    <w:rsid w:val="00F51E84"/>
    <w:rsid w:val="00F525D9"/>
    <w:rsid w:val="00F52A42"/>
    <w:rsid w:val="00F5304C"/>
    <w:rsid w:val="00F54DCB"/>
    <w:rsid w:val="00F56100"/>
    <w:rsid w:val="00F60929"/>
    <w:rsid w:val="00F60959"/>
    <w:rsid w:val="00F61651"/>
    <w:rsid w:val="00F62D75"/>
    <w:rsid w:val="00F63181"/>
    <w:rsid w:val="00F6325C"/>
    <w:rsid w:val="00F64DAA"/>
    <w:rsid w:val="00F6559F"/>
    <w:rsid w:val="00F66937"/>
    <w:rsid w:val="00F671F5"/>
    <w:rsid w:val="00F67C91"/>
    <w:rsid w:val="00F67D69"/>
    <w:rsid w:val="00F706AC"/>
    <w:rsid w:val="00F711F6"/>
    <w:rsid w:val="00F71519"/>
    <w:rsid w:val="00F722A6"/>
    <w:rsid w:val="00F72A25"/>
    <w:rsid w:val="00F75013"/>
    <w:rsid w:val="00F75844"/>
    <w:rsid w:val="00F75F02"/>
    <w:rsid w:val="00F76143"/>
    <w:rsid w:val="00F77BA1"/>
    <w:rsid w:val="00F8100C"/>
    <w:rsid w:val="00F81D7A"/>
    <w:rsid w:val="00F83B26"/>
    <w:rsid w:val="00F84587"/>
    <w:rsid w:val="00F87FCA"/>
    <w:rsid w:val="00F904B6"/>
    <w:rsid w:val="00F90972"/>
    <w:rsid w:val="00F90BB4"/>
    <w:rsid w:val="00F91B54"/>
    <w:rsid w:val="00F92DD2"/>
    <w:rsid w:val="00F92FC6"/>
    <w:rsid w:val="00F942FB"/>
    <w:rsid w:val="00F94DAA"/>
    <w:rsid w:val="00F95320"/>
    <w:rsid w:val="00F95345"/>
    <w:rsid w:val="00F95ACD"/>
    <w:rsid w:val="00F95EA8"/>
    <w:rsid w:val="00F9615F"/>
    <w:rsid w:val="00FA06FC"/>
    <w:rsid w:val="00FA0C4B"/>
    <w:rsid w:val="00FA1A04"/>
    <w:rsid w:val="00FA1F9E"/>
    <w:rsid w:val="00FA285E"/>
    <w:rsid w:val="00FA51B0"/>
    <w:rsid w:val="00FA5725"/>
    <w:rsid w:val="00FA5918"/>
    <w:rsid w:val="00FA6C17"/>
    <w:rsid w:val="00FA7370"/>
    <w:rsid w:val="00FB079E"/>
    <w:rsid w:val="00FB24CF"/>
    <w:rsid w:val="00FB3C76"/>
    <w:rsid w:val="00FB3E54"/>
    <w:rsid w:val="00FB3E79"/>
    <w:rsid w:val="00FB4DDA"/>
    <w:rsid w:val="00FB7E8C"/>
    <w:rsid w:val="00FC00B7"/>
    <w:rsid w:val="00FC0591"/>
    <w:rsid w:val="00FC10FF"/>
    <w:rsid w:val="00FC2E97"/>
    <w:rsid w:val="00FC54AE"/>
    <w:rsid w:val="00FC6E0B"/>
    <w:rsid w:val="00FC7478"/>
    <w:rsid w:val="00FD0FF8"/>
    <w:rsid w:val="00FD31CE"/>
    <w:rsid w:val="00FD456F"/>
    <w:rsid w:val="00FD4C1B"/>
    <w:rsid w:val="00FD4FBA"/>
    <w:rsid w:val="00FD52F2"/>
    <w:rsid w:val="00FD5E7E"/>
    <w:rsid w:val="00FD5E95"/>
    <w:rsid w:val="00FD5FEF"/>
    <w:rsid w:val="00FD6397"/>
    <w:rsid w:val="00FD73D6"/>
    <w:rsid w:val="00FD77F1"/>
    <w:rsid w:val="00FD7BE2"/>
    <w:rsid w:val="00FE010F"/>
    <w:rsid w:val="00FE0128"/>
    <w:rsid w:val="00FE0E6F"/>
    <w:rsid w:val="00FE16F8"/>
    <w:rsid w:val="00FE18A0"/>
    <w:rsid w:val="00FE2041"/>
    <w:rsid w:val="00FE254A"/>
    <w:rsid w:val="00FE257E"/>
    <w:rsid w:val="00FE2640"/>
    <w:rsid w:val="00FE2826"/>
    <w:rsid w:val="00FE335D"/>
    <w:rsid w:val="00FE3DE0"/>
    <w:rsid w:val="00FE48F5"/>
    <w:rsid w:val="00FE4A2C"/>
    <w:rsid w:val="00FE519C"/>
    <w:rsid w:val="00FE5B54"/>
    <w:rsid w:val="00FE6A04"/>
    <w:rsid w:val="00FF0374"/>
    <w:rsid w:val="00FF16D7"/>
    <w:rsid w:val="00FF2181"/>
    <w:rsid w:val="00FF3388"/>
    <w:rsid w:val="00FF5EA7"/>
    <w:rsid w:val="00FF67F4"/>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4560BA64-FAF2-477D-A8D6-F32B3CB3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3EF"/>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목록단락,列"/>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列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paragraph" w:customStyle="1" w:styleId="B3">
    <w:name w:val="B3"/>
    <w:basedOn w:val="a"/>
    <w:link w:val="B3Char"/>
    <w:qFormat/>
    <w:rsid w:val="0080603D"/>
    <w:pPr>
      <w:widowControl/>
      <w:wordWrap/>
      <w:autoSpaceDE/>
      <w:autoSpaceDN/>
      <w:spacing w:after="180" w:line="240" w:lineRule="auto"/>
      <w:ind w:left="1135" w:hanging="284"/>
      <w:jc w:val="left"/>
    </w:pPr>
    <w:rPr>
      <w:rFonts w:ascii="Times New Roman" w:hAnsi="Times New Roman" w:cs="Times New Roman"/>
      <w:kern w:val="0"/>
      <w:szCs w:val="20"/>
      <w:lang w:val="en-GB" w:eastAsia="en-US"/>
    </w:rPr>
  </w:style>
  <w:style w:type="character" w:customStyle="1" w:styleId="B3Char">
    <w:name w:val="B3 Char"/>
    <w:link w:val="B3"/>
    <w:rsid w:val="0080603D"/>
    <w:rPr>
      <w:rFonts w:ascii="Times New Roman" w:hAnsi="Times New Roman" w:cs="Times New Roman"/>
      <w:kern w:val="0"/>
      <w:szCs w:val="20"/>
      <w:lang w:val="en-GB" w:eastAsia="en-US"/>
    </w:rPr>
  </w:style>
  <w:style w:type="paragraph" w:customStyle="1" w:styleId="00Text">
    <w:name w:val="00_Text"/>
    <w:basedOn w:val="a"/>
    <w:link w:val="00TextChar"/>
    <w:qFormat/>
    <w:rsid w:val="0080603D"/>
    <w:pPr>
      <w:widowControl/>
      <w:wordWrap/>
      <w:autoSpaceDE/>
      <w:autoSpaceDN/>
      <w:spacing w:after="100" w:afterAutospacing="1" w:line="264" w:lineRule="auto"/>
    </w:pPr>
    <w:rPr>
      <w:rFonts w:ascii="Times New Roman" w:eastAsia="SimSun" w:hAnsi="Times New Roman" w:cs="Times New Roman"/>
      <w:kern w:val="0"/>
      <w:szCs w:val="24"/>
      <w:lang w:eastAsia="zh-CN"/>
    </w:rPr>
  </w:style>
  <w:style w:type="character" w:customStyle="1" w:styleId="00TextChar">
    <w:name w:val="00_Text Char"/>
    <w:basedOn w:val="a0"/>
    <w:link w:val="00Text"/>
    <w:qFormat/>
    <w:rsid w:val="0080603D"/>
    <w:rPr>
      <w:rFonts w:ascii="Times New Roman" w:eastAsia="SimSun" w:hAnsi="Times New Roman" w:cs="Times New Roman"/>
      <w:kern w:val="0"/>
      <w:szCs w:val="24"/>
      <w:lang w:eastAsia="zh-CN"/>
    </w:rPr>
  </w:style>
  <w:style w:type="character" w:customStyle="1" w:styleId="B1Char">
    <w:name w:val="B1 Char"/>
    <w:qFormat/>
    <w:rsid w:val="00BA0CFE"/>
    <w:rPr>
      <w:rFonts w:ascii="Times New Roman" w:eastAsia="MS Gothic" w:hAnsi="Times New Roman"/>
      <w:sz w:val="24"/>
      <w:lang w:val="en-GB"/>
    </w:rPr>
  </w:style>
  <w:style w:type="paragraph" w:customStyle="1" w:styleId="LGTdoc">
    <w:name w:val="LGTdoc_본문"/>
    <w:basedOn w:val="a"/>
    <w:link w:val="LGTdocChar"/>
    <w:qFormat/>
    <w:rsid w:val="00BA0CFE"/>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customStyle="1" w:styleId="LGTdocChar">
    <w:name w:val="LGTdoc_본문 Char"/>
    <w:link w:val="LGTdoc"/>
    <w:qFormat/>
    <w:rsid w:val="00BA0CFE"/>
    <w:rPr>
      <w:rFonts w:ascii="Times New Roman" w:eastAsia="바탕" w:hAnsi="Times New Roman" w:cs="Times New Roman"/>
      <w:sz w:val="22"/>
      <w:szCs w:val="24"/>
      <w:lang w:val="en-GB"/>
    </w:rPr>
  </w:style>
  <w:style w:type="paragraph" w:styleId="HTML">
    <w:name w:val="HTML Preformatted"/>
    <w:basedOn w:val="a"/>
    <w:link w:val="HTMLChar"/>
    <w:uiPriority w:val="99"/>
    <w:semiHidden/>
    <w:unhideWhenUsed/>
    <w:rsid w:val="004C62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sid w:val="004C6294"/>
    <w:rPr>
      <w:rFonts w:ascii="굴림체" w:eastAsia="굴림체" w:hAnsi="굴림체" w:cs="굴림체"/>
      <w:kern w:val="0"/>
      <w:sz w:val="24"/>
      <w:szCs w:val="24"/>
    </w:rPr>
  </w:style>
  <w:style w:type="paragraph" w:styleId="af1">
    <w:name w:val="Revision"/>
    <w:hidden/>
    <w:uiPriority w:val="99"/>
    <w:semiHidden/>
    <w:rsid w:val="00941D37"/>
    <w:pPr>
      <w:spacing w:after="0" w:line="240" w:lineRule="auto"/>
      <w:jc w:val="left"/>
    </w:pPr>
  </w:style>
  <w:style w:type="paragraph" w:customStyle="1" w:styleId="xmsonormal">
    <w:name w:val="x_msonormal"/>
    <w:basedOn w:val="a"/>
    <w:qFormat/>
    <w:rsid w:val="00A762CD"/>
    <w:pPr>
      <w:widowControl/>
      <w:wordWrap/>
      <w:autoSpaceDE/>
      <w:autoSpaceDN/>
      <w:spacing w:after="0" w:line="240" w:lineRule="auto"/>
      <w:jc w:val="left"/>
    </w:pPr>
    <w:rPr>
      <w:rFonts w:ascii="Calibri" w:eastAsia="Calibri" w:hAnsi="Calibri" w:cs="Calibri"/>
      <w:kern w:val="0"/>
      <w:sz w:val="22"/>
      <w:lang w:eastAsia="en-US"/>
    </w:rPr>
  </w:style>
  <w:style w:type="paragraph" w:customStyle="1" w:styleId="TAC">
    <w:name w:val="TAC"/>
    <w:basedOn w:val="a"/>
    <w:link w:val="TACChar"/>
    <w:qFormat/>
    <w:rsid w:val="00792D2F"/>
    <w:pPr>
      <w:keepNext/>
      <w:keepLines/>
      <w:widowControl/>
      <w:wordWrap/>
      <w:autoSpaceDE/>
      <w:autoSpaceDN/>
      <w:spacing w:after="0" w:line="240" w:lineRule="auto"/>
      <w:jc w:val="center"/>
    </w:pPr>
    <w:rPr>
      <w:rFonts w:ascii="Arial" w:eastAsia="SimSun" w:hAnsi="Arial" w:cs="Times New Roman"/>
      <w:kern w:val="0"/>
      <w:sz w:val="18"/>
      <w:szCs w:val="20"/>
      <w:lang w:val="en-GB" w:eastAsia="en-US"/>
    </w:rPr>
  </w:style>
  <w:style w:type="paragraph" w:customStyle="1" w:styleId="TH">
    <w:name w:val="TH"/>
    <w:basedOn w:val="a"/>
    <w:link w:val="THChar"/>
    <w:qFormat/>
    <w:rsid w:val="00792D2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character" w:customStyle="1" w:styleId="THChar">
    <w:name w:val="TH Char"/>
    <w:link w:val="TH"/>
    <w:qFormat/>
    <w:rsid w:val="00792D2F"/>
    <w:rPr>
      <w:rFonts w:ascii="Arial" w:eastAsia="SimSun" w:hAnsi="Arial" w:cs="Times New Roman"/>
      <w:b/>
      <w:kern w:val="0"/>
      <w:szCs w:val="20"/>
      <w:lang w:val="en-GB" w:eastAsia="en-US"/>
    </w:rPr>
  </w:style>
  <w:style w:type="character" w:customStyle="1" w:styleId="TACChar">
    <w:name w:val="TAC Char"/>
    <w:link w:val="TAC"/>
    <w:qFormat/>
    <w:rsid w:val="00792D2F"/>
    <w:rPr>
      <w:rFonts w:ascii="Arial" w:eastAsia="SimSun" w:hAnsi="Arial" w:cs="Times New Roman"/>
      <w:kern w:val="0"/>
      <w:sz w:val="18"/>
      <w:szCs w:val="20"/>
      <w:lang w:val="en-GB" w:eastAsia="en-US"/>
    </w:rPr>
  </w:style>
  <w:style w:type="paragraph" w:customStyle="1" w:styleId="TF">
    <w:name w:val="TF"/>
    <w:basedOn w:val="TH"/>
    <w:link w:val="TFChar"/>
    <w:rsid w:val="00D94F2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94F2B"/>
    <w:rPr>
      <w:rFonts w:ascii="Arial" w:eastAsia="Times New Roman" w:hAnsi="Arial" w:cs="Times New Roman"/>
      <w:b/>
      <w:kern w:val="0"/>
      <w:szCs w:val="20"/>
      <w:lang w:val="en-GB" w:eastAsia="ja-JP"/>
    </w:rPr>
  </w:style>
  <w:style w:type="paragraph" w:customStyle="1" w:styleId="TAL">
    <w:name w:val="TAL"/>
    <w:basedOn w:val="a"/>
    <w:link w:val="TALCar"/>
    <w:rsid w:val="008C7408"/>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ja-JP"/>
    </w:rPr>
  </w:style>
  <w:style w:type="paragraph" w:customStyle="1" w:styleId="TAH">
    <w:name w:val="TAH"/>
    <w:basedOn w:val="TAC"/>
    <w:link w:val="TAHCar"/>
    <w:rsid w:val="008C7408"/>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8C7408"/>
    <w:rPr>
      <w:rFonts w:ascii="Arial" w:eastAsia="Times New Roman" w:hAnsi="Arial" w:cs="Times New Roman"/>
      <w:b/>
      <w:kern w:val="0"/>
      <w:sz w:val="18"/>
      <w:szCs w:val="20"/>
      <w:lang w:val="en-GB" w:eastAsia="ja-JP"/>
    </w:rPr>
  </w:style>
  <w:style w:type="character" w:customStyle="1" w:styleId="TALCar">
    <w:name w:val="TAL Car"/>
    <w:link w:val="TAL"/>
    <w:qFormat/>
    <w:rsid w:val="008C7408"/>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0279">
      <w:bodyDiv w:val="1"/>
      <w:marLeft w:val="0"/>
      <w:marRight w:val="0"/>
      <w:marTop w:val="0"/>
      <w:marBottom w:val="0"/>
      <w:divBdr>
        <w:top w:val="none" w:sz="0" w:space="0" w:color="auto"/>
        <w:left w:val="none" w:sz="0" w:space="0" w:color="auto"/>
        <w:bottom w:val="none" w:sz="0" w:space="0" w:color="auto"/>
        <w:right w:val="none" w:sz="0" w:space="0" w:color="auto"/>
      </w:divBdr>
    </w:div>
    <w:div w:id="22825748">
      <w:bodyDiv w:val="1"/>
      <w:marLeft w:val="0"/>
      <w:marRight w:val="0"/>
      <w:marTop w:val="0"/>
      <w:marBottom w:val="0"/>
      <w:divBdr>
        <w:top w:val="none" w:sz="0" w:space="0" w:color="auto"/>
        <w:left w:val="none" w:sz="0" w:space="0" w:color="auto"/>
        <w:bottom w:val="none" w:sz="0" w:space="0" w:color="auto"/>
        <w:right w:val="none" w:sz="0" w:space="0" w:color="auto"/>
      </w:divBdr>
    </w:div>
    <w:div w:id="45834843">
      <w:bodyDiv w:val="1"/>
      <w:marLeft w:val="0"/>
      <w:marRight w:val="0"/>
      <w:marTop w:val="0"/>
      <w:marBottom w:val="0"/>
      <w:divBdr>
        <w:top w:val="none" w:sz="0" w:space="0" w:color="auto"/>
        <w:left w:val="none" w:sz="0" w:space="0" w:color="auto"/>
        <w:bottom w:val="none" w:sz="0" w:space="0" w:color="auto"/>
        <w:right w:val="none" w:sz="0" w:space="0" w:color="auto"/>
      </w:divBdr>
    </w:div>
    <w:div w:id="68118803">
      <w:bodyDiv w:val="1"/>
      <w:marLeft w:val="0"/>
      <w:marRight w:val="0"/>
      <w:marTop w:val="0"/>
      <w:marBottom w:val="0"/>
      <w:divBdr>
        <w:top w:val="none" w:sz="0" w:space="0" w:color="auto"/>
        <w:left w:val="none" w:sz="0" w:space="0" w:color="auto"/>
        <w:bottom w:val="none" w:sz="0" w:space="0" w:color="auto"/>
        <w:right w:val="none" w:sz="0" w:space="0" w:color="auto"/>
      </w:divBdr>
    </w:div>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153686568">
      <w:bodyDiv w:val="1"/>
      <w:marLeft w:val="0"/>
      <w:marRight w:val="0"/>
      <w:marTop w:val="0"/>
      <w:marBottom w:val="0"/>
      <w:divBdr>
        <w:top w:val="none" w:sz="0" w:space="0" w:color="auto"/>
        <w:left w:val="none" w:sz="0" w:space="0" w:color="auto"/>
        <w:bottom w:val="none" w:sz="0" w:space="0" w:color="auto"/>
        <w:right w:val="none" w:sz="0" w:space="0" w:color="auto"/>
      </w:divBdr>
    </w:div>
    <w:div w:id="169372793">
      <w:bodyDiv w:val="1"/>
      <w:marLeft w:val="0"/>
      <w:marRight w:val="0"/>
      <w:marTop w:val="0"/>
      <w:marBottom w:val="0"/>
      <w:divBdr>
        <w:top w:val="none" w:sz="0" w:space="0" w:color="auto"/>
        <w:left w:val="none" w:sz="0" w:space="0" w:color="auto"/>
        <w:bottom w:val="none" w:sz="0" w:space="0" w:color="auto"/>
        <w:right w:val="none" w:sz="0" w:space="0" w:color="auto"/>
      </w:divBdr>
    </w:div>
    <w:div w:id="200018168">
      <w:bodyDiv w:val="1"/>
      <w:marLeft w:val="0"/>
      <w:marRight w:val="0"/>
      <w:marTop w:val="0"/>
      <w:marBottom w:val="0"/>
      <w:divBdr>
        <w:top w:val="none" w:sz="0" w:space="0" w:color="auto"/>
        <w:left w:val="none" w:sz="0" w:space="0" w:color="auto"/>
        <w:bottom w:val="none" w:sz="0" w:space="0" w:color="auto"/>
        <w:right w:val="none" w:sz="0" w:space="0" w:color="auto"/>
      </w:divBdr>
    </w:div>
    <w:div w:id="218366557">
      <w:bodyDiv w:val="1"/>
      <w:marLeft w:val="0"/>
      <w:marRight w:val="0"/>
      <w:marTop w:val="0"/>
      <w:marBottom w:val="0"/>
      <w:divBdr>
        <w:top w:val="none" w:sz="0" w:space="0" w:color="auto"/>
        <w:left w:val="none" w:sz="0" w:space="0" w:color="auto"/>
        <w:bottom w:val="none" w:sz="0" w:space="0" w:color="auto"/>
        <w:right w:val="none" w:sz="0" w:space="0" w:color="auto"/>
      </w:divBdr>
    </w:div>
    <w:div w:id="229925979">
      <w:bodyDiv w:val="1"/>
      <w:marLeft w:val="0"/>
      <w:marRight w:val="0"/>
      <w:marTop w:val="0"/>
      <w:marBottom w:val="0"/>
      <w:divBdr>
        <w:top w:val="none" w:sz="0" w:space="0" w:color="auto"/>
        <w:left w:val="none" w:sz="0" w:space="0" w:color="auto"/>
        <w:bottom w:val="none" w:sz="0" w:space="0" w:color="auto"/>
        <w:right w:val="none" w:sz="0" w:space="0" w:color="auto"/>
      </w:divBdr>
    </w:div>
    <w:div w:id="267735642">
      <w:bodyDiv w:val="1"/>
      <w:marLeft w:val="0"/>
      <w:marRight w:val="0"/>
      <w:marTop w:val="0"/>
      <w:marBottom w:val="0"/>
      <w:divBdr>
        <w:top w:val="none" w:sz="0" w:space="0" w:color="auto"/>
        <w:left w:val="none" w:sz="0" w:space="0" w:color="auto"/>
        <w:bottom w:val="none" w:sz="0" w:space="0" w:color="auto"/>
        <w:right w:val="none" w:sz="0" w:space="0" w:color="auto"/>
      </w:divBdr>
    </w:div>
    <w:div w:id="278611188">
      <w:bodyDiv w:val="1"/>
      <w:marLeft w:val="0"/>
      <w:marRight w:val="0"/>
      <w:marTop w:val="0"/>
      <w:marBottom w:val="0"/>
      <w:divBdr>
        <w:top w:val="none" w:sz="0" w:space="0" w:color="auto"/>
        <w:left w:val="none" w:sz="0" w:space="0" w:color="auto"/>
        <w:bottom w:val="none" w:sz="0" w:space="0" w:color="auto"/>
        <w:right w:val="none" w:sz="0" w:space="0" w:color="auto"/>
      </w:divBdr>
    </w:div>
    <w:div w:id="287855151">
      <w:bodyDiv w:val="1"/>
      <w:marLeft w:val="0"/>
      <w:marRight w:val="0"/>
      <w:marTop w:val="0"/>
      <w:marBottom w:val="0"/>
      <w:divBdr>
        <w:top w:val="none" w:sz="0" w:space="0" w:color="auto"/>
        <w:left w:val="none" w:sz="0" w:space="0" w:color="auto"/>
        <w:bottom w:val="none" w:sz="0" w:space="0" w:color="auto"/>
        <w:right w:val="none" w:sz="0" w:space="0" w:color="auto"/>
      </w:divBdr>
    </w:div>
    <w:div w:id="317925789">
      <w:bodyDiv w:val="1"/>
      <w:marLeft w:val="0"/>
      <w:marRight w:val="0"/>
      <w:marTop w:val="0"/>
      <w:marBottom w:val="0"/>
      <w:divBdr>
        <w:top w:val="none" w:sz="0" w:space="0" w:color="auto"/>
        <w:left w:val="none" w:sz="0" w:space="0" w:color="auto"/>
        <w:bottom w:val="none" w:sz="0" w:space="0" w:color="auto"/>
        <w:right w:val="none" w:sz="0" w:space="0" w:color="auto"/>
      </w:divBdr>
    </w:div>
    <w:div w:id="365644323">
      <w:bodyDiv w:val="1"/>
      <w:marLeft w:val="0"/>
      <w:marRight w:val="0"/>
      <w:marTop w:val="0"/>
      <w:marBottom w:val="0"/>
      <w:divBdr>
        <w:top w:val="none" w:sz="0" w:space="0" w:color="auto"/>
        <w:left w:val="none" w:sz="0" w:space="0" w:color="auto"/>
        <w:bottom w:val="none" w:sz="0" w:space="0" w:color="auto"/>
        <w:right w:val="none" w:sz="0" w:space="0" w:color="auto"/>
      </w:divBdr>
    </w:div>
    <w:div w:id="425620084">
      <w:bodyDiv w:val="1"/>
      <w:marLeft w:val="0"/>
      <w:marRight w:val="0"/>
      <w:marTop w:val="0"/>
      <w:marBottom w:val="0"/>
      <w:divBdr>
        <w:top w:val="none" w:sz="0" w:space="0" w:color="auto"/>
        <w:left w:val="none" w:sz="0" w:space="0" w:color="auto"/>
        <w:bottom w:val="none" w:sz="0" w:space="0" w:color="auto"/>
        <w:right w:val="none" w:sz="0" w:space="0" w:color="auto"/>
      </w:divBdr>
    </w:div>
    <w:div w:id="443110584">
      <w:bodyDiv w:val="1"/>
      <w:marLeft w:val="0"/>
      <w:marRight w:val="0"/>
      <w:marTop w:val="0"/>
      <w:marBottom w:val="0"/>
      <w:divBdr>
        <w:top w:val="none" w:sz="0" w:space="0" w:color="auto"/>
        <w:left w:val="none" w:sz="0" w:space="0" w:color="auto"/>
        <w:bottom w:val="none" w:sz="0" w:space="0" w:color="auto"/>
        <w:right w:val="none" w:sz="0" w:space="0" w:color="auto"/>
      </w:divBdr>
    </w:div>
    <w:div w:id="483549245">
      <w:bodyDiv w:val="1"/>
      <w:marLeft w:val="0"/>
      <w:marRight w:val="0"/>
      <w:marTop w:val="0"/>
      <w:marBottom w:val="0"/>
      <w:divBdr>
        <w:top w:val="none" w:sz="0" w:space="0" w:color="auto"/>
        <w:left w:val="none" w:sz="0" w:space="0" w:color="auto"/>
        <w:bottom w:val="none" w:sz="0" w:space="0" w:color="auto"/>
        <w:right w:val="none" w:sz="0" w:space="0" w:color="auto"/>
      </w:divBdr>
    </w:div>
    <w:div w:id="498426596">
      <w:bodyDiv w:val="1"/>
      <w:marLeft w:val="0"/>
      <w:marRight w:val="0"/>
      <w:marTop w:val="0"/>
      <w:marBottom w:val="0"/>
      <w:divBdr>
        <w:top w:val="none" w:sz="0" w:space="0" w:color="auto"/>
        <w:left w:val="none" w:sz="0" w:space="0" w:color="auto"/>
        <w:bottom w:val="none" w:sz="0" w:space="0" w:color="auto"/>
        <w:right w:val="none" w:sz="0" w:space="0" w:color="auto"/>
      </w:divBdr>
    </w:div>
    <w:div w:id="506755175">
      <w:bodyDiv w:val="1"/>
      <w:marLeft w:val="0"/>
      <w:marRight w:val="0"/>
      <w:marTop w:val="0"/>
      <w:marBottom w:val="0"/>
      <w:divBdr>
        <w:top w:val="none" w:sz="0" w:space="0" w:color="auto"/>
        <w:left w:val="none" w:sz="0" w:space="0" w:color="auto"/>
        <w:bottom w:val="none" w:sz="0" w:space="0" w:color="auto"/>
        <w:right w:val="none" w:sz="0" w:space="0" w:color="auto"/>
      </w:divBdr>
    </w:div>
    <w:div w:id="516045630">
      <w:bodyDiv w:val="1"/>
      <w:marLeft w:val="0"/>
      <w:marRight w:val="0"/>
      <w:marTop w:val="0"/>
      <w:marBottom w:val="0"/>
      <w:divBdr>
        <w:top w:val="none" w:sz="0" w:space="0" w:color="auto"/>
        <w:left w:val="none" w:sz="0" w:space="0" w:color="auto"/>
        <w:bottom w:val="none" w:sz="0" w:space="0" w:color="auto"/>
        <w:right w:val="none" w:sz="0" w:space="0" w:color="auto"/>
      </w:divBdr>
    </w:div>
    <w:div w:id="520321239">
      <w:bodyDiv w:val="1"/>
      <w:marLeft w:val="0"/>
      <w:marRight w:val="0"/>
      <w:marTop w:val="0"/>
      <w:marBottom w:val="0"/>
      <w:divBdr>
        <w:top w:val="none" w:sz="0" w:space="0" w:color="auto"/>
        <w:left w:val="none" w:sz="0" w:space="0" w:color="auto"/>
        <w:bottom w:val="none" w:sz="0" w:space="0" w:color="auto"/>
        <w:right w:val="none" w:sz="0" w:space="0" w:color="auto"/>
      </w:divBdr>
    </w:div>
    <w:div w:id="558395785">
      <w:bodyDiv w:val="1"/>
      <w:marLeft w:val="0"/>
      <w:marRight w:val="0"/>
      <w:marTop w:val="0"/>
      <w:marBottom w:val="0"/>
      <w:divBdr>
        <w:top w:val="none" w:sz="0" w:space="0" w:color="auto"/>
        <w:left w:val="none" w:sz="0" w:space="0" w:color="auto"/>
        <w:bottom w:val="none" w:sz="0" w:space="0" w:color="auto"/>
        <w:right w:val="none" w:sz="0" w:space="0" w:color="auto"/>
      </w:divBdr>
    </w:div>
    <w:div w:id="560361601">
      <w:bodyDiv w:val="1"/>
      <w:marLeft w:val="0"/>
      <w:marRight w:val="0"/>
      <w:marTop w:val="0"/>
      <w:marBottom w:val="0"/>
      <w:divBdr>
        <w:top w:val="none" w:sz="0" w:space="0" w:color="auto"/>
        <w:left w:val="none" w:sz="0" w:space="0" w:color="auto"/>
        <w:bottom w:val="none" w:sz="0" w:space="0" w:color="auto"/>
        <w:right w:val="none" w:sz="0" w:space="0" w:color="auto"/>
      </w:divBdr>
    </w:div>
    <w:div w:id="562374369">
      <w:bodyDiv w:val="1"/>
      <w:marLeft w:val="0"/>
      <w:marRight w:val="0"/>
      <w:marTop w:val="0"/>
      <w:marBottom w:val="0"/>
      <w:divBdr>
        <w:top w:val="none" w:sz="0" w:space="0" w:color="auto"/>
        <w:left w:val="none" w:sz="0" w:space="0" w:color="auto"/>
        <w:bottom w:val="none" w:sz="0" w:space="0" w:color="auto"/>
        <w:right w:val="none" w:sz="0" w:space="0" w:color="auto"/>
      </w:divBdr>
    </w:div>
    <w:div w:id="585958478">
      <w:bodyDiv w:val="1"/>
      <w:marLeft w:val="0"/>
      <w:marRight w:val="0"/>
      <w:marTop w:val="0"/>
      <w:marBottom w:val="0"/>
      <w:divBdr>
        <w:top w:val="none" w:sz="0" w:space="0" w:color="auto"/>
        <w:left w:val="none" w:sz="0" w:space="0" w:color="auto"/>
        <w:bottom w:val="none" w:sz="0" w:space="0" w:color="auto"/>
        <w:right w:val="none" w:sz="0" w:space="0" w:color="auto"/>
      </w:divBdr>
    </w:div>
    <w:div w:id="636956448">
      <w:bodyDiv w:val="1"/>
      <w:marLeft w:val="0"/>
      <w:marRight w:val="0"/>
      <w:marTop w:val="0"/>
      <w:marBottom w:val="0"/>
      <w:divBdr>
        <w:top w:val="none" w:sz="0" w:space="0" w:color="auto"/>
        <w:left w:val="none" w:sz="0" w:space="0" w:color="auto"/>
        <w:bottom w:val="none" w:sz="0" w:space="0" w:color="auto"/>
        <w:right w:val="none" w:sz="0" w:space="0" w:color="auto"/>
      </w:divBdr>
    </w:div>
    <w:div w:id="715541594">
      <w:bodyDiv w:val="1"/>
      <w:marLeft w:val="0"/>
      <w:marRight w:val="0"/>
      <w:marTop w:val="0"/>
      <w:marBottom w:val="0"/>
      <w:divBdr>
        <w:top w:val="none" w:sz="0" w:space="0" w:color="auto"/>
        <w:left w:val="none" w:sz="0" w:space="0" w:color="auto"/>
        <w:bottom w:val="none" w:sz="0" w:space="0" w:color="auto"/>
        <w:right w:val="none" w:sz="0" w:space="0" w:color="auto"/>
      </w:divBdr>
    </w:div>
    <w:div w:id="729353068">
      <w:bodyDiv w:val="1"/>
      <w:marLeft w:val="0"/>
      <w:marRight w:val="0"/>
      <w:marTop w:val="0"/>
      <w:marBottom w:val="0"/>
      <w:divBdr>
        <w:top w:val="none" w:sz="0" w:space="0" w:color="auto"/>
        <w:left w:val="none" w:sz="0" w:space="0" w:color="auto"/>
        <w:bottom w:val="none" w:sz="0" w:space="0" w:color="auto"/>
        <w:right w:val="none" w:sz="0" w:space="0" w:color="auto"/>
      </w:divBdr>
    </w:div>
    <w:div w:id="739792493">
      <w:bodyDiv w:val="1"/>
      <w:marLeft w:val="0"/>
      <w:marRight w:val="0"/>
      <w:marTop w:val="0"/>
      <w:marBottom w:val="0"/>
      <w:divBdr>
        <w:top w:val="none" w:sz="0" w:space="0" w:color="auto"/>
        <w:left w:val="none" w:sz="0" w:space="0" w:color="auto"/>
        <w:bottom w:val="none" w:sz="0" w:space="0" w:color="auto"/>
        <w:right w:val="none" w:sz="0" w:space="0" w:color="auto"/>
      </w:divBdr>
    </w:div>
    <w:div w:id="743524551">
      <w:bodyDiv w:val="1"/>
      <w:marLeft w:val="0"/>
      <w:marRight w:val="0"/>
      <w:marTop w:val="0"/>
      <w:marBottom w:val="0"/>
      <w:divBdr>
        <w:top w:val="none" w:sz="0" w:space="0" w:color="auto"/>
        <w:left w:val="none" w:sz="0" w:space="0" w:color="auto"/>
        <w:bottom w:val="none" w:sz="0" w:space="0" w:color="auto"/>
        <w:right w:val="none" w:sz="0" w:space="0" w:color="auto"/>
      </w:divBdr>
    </w:div>
    <w:div w:id="751581341">
      <w:bodyDiv w:val="1"/>
      <w:marLeft w:val="0"/>
      <w:marRight w:val="0"/>
      <w:marTop w:val="0"/>
      <w:marBottom w:val="0"/>
      <w:divBdr>
        <w:top w:val="none" w:sz="0" w:space="0" w:color="auto"/>
        <w:left w:val="none" w:sz="0" w:space="0" w:color="auto"/>
        <w:bottom w:val="none" w:sz="0" w:space="0" w:color="auto"/>
        <w:right w:val="none" w:sz="0" w:space="0" w:color="auto"/>
      </w:divBdr>
    </w:div>
    <w:div w:id="771634024">
      <w:bodyDiv w:val="1"/>
      <w:marLeft w:val="0"/>
      <w:marRight w:val="0"/>
      <w:marTop w:val="0"/>
      <w:marBottom w:val="0"/>
      <w:divBdr>
        <w:top w:val="none" w:sz="0" w:space="0" w:color="auto"/>
        <w:left w:val="none" w:sz="0" w:space="0" w:color="auto"/>
        <w:bottom w:val="none" w:sz="0" w:space="0" w:color="auto"/>
        <w:right w:val="none" w:sz="0" w:space="0" w:color="auto"/>
      </w:divBdr>
    </w:div>
    <w:div w:id="796532872">
      <w:bodyDiv w:val="1"/>
      <w:marLeft w:val="0"/>
      <w:marRight w:val="0"/>
      <w:marTop w:val="0"/>
      <w:marBottom w:val="0"/>
      <w:divBdr>
        <w:top w:val="none" w:sz="0" w:space="0" w:color="auto"/>
        <w:left w:val="none" w:sz="0" w:space="0" w:color="auto"/>
        <w:bottom w:val="none" w:sz="0" w:space="0" w:color="auto"/>
        <w:right w:val="none" w:sz="0" w:space="0" w:color="auto"/>
      </w:divBdr>
    </w:div>
    <w:div w:id="797065842">
      <w:bodyDiv w:val="1"/>
      <w:marLeft w:val="0"/>
      <w:marRight w:val="0"/>
      <w:marTop w:val="0"/>
      <w:marBottom w:val="0"/>
      <w:divBdr>
        <w:top w:val="none" w:sz="0" w:space="0" w:color="auto"/>
        <w:left w:val="none" w:sz="0" w:space="0" w:color="auto"/>
        <w:bottom w:val="none" w:sz="0" w:space="0" w:color="auto"/>
        <w:right w:val="none" w:sz="0" w:space="0" w:color="auto"/>
      </w:divBdr>
    </w:div>
    <w:div w:id="833104436">
      <w:bodyDiv w:val="1"/>
      <w:marLeft w:val="0"/>
      <w:marRight w:val="0"/>
      <w:marTop w:val="0"/>
      <w:marBottom w:val="0"/>
      <w:divBdr>
        <w:top w:val="none" w:sz="0" w:space="0" w:color="auto"/>
        <w:left w:val="none" w:sz="0" w:space="0" w:color="auto"/>
        <w:bottom w:val="none" w:sz="0" w:space="0" w:color="auto"/>
        <w:right w:val="none" w:sz="0" w:space="0" w:color="auto"/>
      </w:divBdr>
    </w:div>
    <w:div w:id="858278521">
      <w:bodyDiv w:val="1"/>
      <w:marLeft w:val="0"/>
      <w:marRight w:val="0"/>
      <w:marTop w:val="0"/>
      <w:marBottom w:val="0"/>
      <w:divBdr>
        <w:top w:val="none" w:sz="0" w:space="0" w:color="auto"/>
        <w:left w:val="none" w:sz="0" w:space="0" w:color="auto"/>
        <w:bottom w:val="none" w:sz="0" w:space="0" w:color="auto"/>
        <w:right w:val="none" w:sz="0" w:space="0" w:color="auto"/>
      </w:divBdr>
      <w:divsChild>
        <w:div w:id="287204724">
          <w:marLeft w:val="0"/>
          <w:marRight w:val="0"/>
          <w:marTop w:val="0"/>
          <w:marBottom w:val="0"/>
          <w:divBdr>
            <w:top w:val="none" w:sz="0" w:space="0" w:color="auto"/>
            <w:left w:val="none" w:sz="0" w:space="0" w:color="auto"/>
            <w:bottom w:val="none" w:sz="0" w:space="0" w:color="auto"/>
            <w:right w:val="none" w:sz="0" w:space="0" w:color="auto"/>
          </w:divBdr>
          <w:divsChild>
            <w:div w:id="735013399">
              <w:marLeft w:val="0"/>
              <w:marRight w:val="0"/>
              <w:marTop w:val="0"/>
              <w:marBottom w:val="0"/>
              <w:divBdr>
                <w:top w:val="none" w:sz="0" w:space="0" w:color="auto"/>
                <w:left w:val="none" w:sz="0" w:space="0" w:color="auto"/>
                <w:bottom w:val="none" w:sz="0" w:space="0" w:color="auto"/>
                <w:right w:val="none" w:sz="0" w:space="0" w:color="auto"/>
              </w:divBdr>
              <w:divsChild>
                <w:div w:id="342319402">
                  <w:marLeft w:val="0"/>
                  <w:marRight w:val="0"/>
                  <w:marTop w:val="0"/>
                  <w:marBottom w:val="0"/>
                  <w:divBdr>
                    <w:top w:val="none" w:sz="0" w:space="0" w:color="auto"/>
                    <w:left w:val="none" w:sz="0" w:space="0" w:color="auto"/>
                    <w:bottom w:val="none" w:sz="0" w:space="0" w:color="auto"/>
                    <w:right w:val="none" w:sz="0" w:space="0" w:color="auto"/>
                  </w:divBdr>
                  <w:divsChild>
                    <w:div w:id="1178688943">
                      <w:marLeft w:val="0"/>
                      <w:marRight w:val="0"/>
                      <w:marTop w:val="0"/>
                      <w:marBottom w:val="0"/>
                      <w:divBdr>
                        <w:top w:val="none" w:sz="0" w:space="0" w:color="auto"/>
                        <w:left w:val="none" w:sz="0" w:space="0" w:color="auto"/>
                        <w:bottom w:val="none" w:sz="0" w:space="0" w:color="auto"/>
                        <w:right w:val="none" w:sz="0" w:space="0" w:color="auto"/>
                      </w:divBdr>
                      <w:divsChild>
                        <w:div w:id="1258053767">
                          <w:marLeft w:val="0"/>
                          <w:marRight w:val="0"/>
                          <w:marTop w:val="0"/>
                          <w:marBottom w:val="0"/>
                          <w:divBdr>
                            <w:top w:val="none" w:sz="0" w:space="0" w:color="auto"/>
                            <w:left w:val="none" w:sz="0" w:space="0" w:color="auto"/>
                            <w:bottom w:val="none" w:sz="0" w:space="0" w:color="auto"/>
                            <w:right w:val="none" w:sz="0" w:space="0" w:color="auto"/>
                          </w:divBdr>
                          <w:divsChild>
                            <w:div w:id="1247760848">
                              <w:marLeft w:val="2700"/>
                              <w:marRight w:val="3735"/>
                              <w:marTop w:val="0"/>
                              <w:marBottom w:val="0"/>
                              <w:divBdr>
                                <w:top w:val="none" w:sz="0" w:space="0" w:color="auto"/>
                                <w:left w:val="none" w:sz="0" w:space="0" w:color="auto"/>
                                <w:bottom w:val="none" w:sz="0" w:space="0" w:color="auto"/>
                                <w:right w:val="none" w:sz="0" w:space="0" w:color="auto"/>
                              </w:divBdr>
                              <w:divsChild>
                                <w:div w:id="1192650814">
                                  <w:marLeft w:val="0"/>
                                  <w:marRight w:val="0"/>
                                  <w:marTop w:val="0"/>
                                  <w:marBottom w:val="0"/>
                                  <w:divBdr>
                                    <w:top w:val="none" w:sz="0" w:space="0" w:color="auto"/>
                                    <w:left w:val="none" w:sz="0" w:space="0" w:color="auto"/>
                                    <w:bottom w:val="none" w:sz="0" w:space="0" w:color="auto"/>
                                    <w:right w:val="none" w:sz="0" w:space="0" w:color="auto"/>
                                  </w:divBdr>
                                  <w:divsChild>
                                    <w:div w:id="1729763034">
                                      <w:marLeft w:val="0"/>
                                      <w:marRight w:val="0"/>
                                      <w:marTop w:val="0"/>
                                      <w:marBottom w:val="0"/>
                                      <w:divBdr>
                                        <w:top w:val="none" w:sz="0" w:space="0" w:color="auto"/>
                                        <w:left w:val="none" w:sz="0" w:space="0" w:color="auto"/>
                                        <w:bottom w:val="none" w:sz="0" w:space="0" w:color="auto"/>
                                        <w:right w:val="none" w:sz="0" w:space="0" w:color="auto"/>
                                      </w:divBdr>
                                      <w:divsChild>
                                        <w:div w:id="1514687109">
                                          <w:marLeft w:val="0"/>
                                          <w:marRight w:val="0"/>
                                          <w:marTop w:val="0"/>
                                          <w:marBottom w:val="0"/>
                                          <w:divBdr>
                                            <w:top w:val="none" w:sz="0" w:space="0" w:color="auto"/>
                                            <w:left w:val="none" w:sz="0" w:space="0" w:color="auto"/>
                                            <w:bottom w:val="none" w:sz="0" w:space="0" w:color="auto"/>
                                            <w:right w:val="none" w:sz="0" w:space="0" w:color="auto"/>
                                          </w:divBdr>
                                          <w:divsChild>
                                            <w:div w:id="1918400132">
                                              <w:marLeft w:val="0"/>
                                              <w:marRight w:val="0"/>
                                              <w:marTop w:val="90"/>
                                              <w:marBottom w:val="0"/>
                                              <w:divBdr>
                                                <w:top w:val="none" w:sz="0" w:space="0" w:color="auto"/>
                                                <w:left w:val="none" w:sz="0" w:space="0" w:color="auto"/>
                                                <w:bottom w:val="none" w:sz="0" w:space="0" w:color="auto"/>
                                                <w:right w:val="none" w:sz="0" w:space="0" w:color="auto"/>
                                              </w:divBdr>
                                              <w:divsChild>
                                                <w:div w:id="1916280637">
                                                  <w:marLeft w:val="0"/>
                                                  <w:marRight w:val="0"/>
                                                  <w:marTop w:val="0"/>
                                                  <w:marBottom w:val="420"/>
                                                  <w:divBdr>
                                                    <w:top w:val="none" w:sz="0" w:space="0" w:color="auto"/>
                                                    <w:left w:val="none" w:sz="0" w:space="0" w:color="auto"/>
                                                    <w:bottom w:val="none" w:sz="0" w:space="0" w:color="auto"/>
                                                    <w:right w:val="none" w:sz="0" w:space="0" w:color="auto"/>
                                                  </w:divBdr>
                                                  <w:divsChild>
                                                    <w:div w:id="224533369">
                                                      <w:marLeft w:val="0"/>
                                                      <w:marRight w:val="0"/>
                                                      <w:marTop w:val="0"/>
                                                      <w:marBottom w:val="0"/>
                                                      <w:divBdr>
                                                        <w:top w:val="none" w:sz="0" w:space="0" w:color="auto"/>
                                                        <w:left w:val="none" w:sz="0" w:space="0" w:color="auto"/>
                                                        <w:bottom w:val="none" w:sz="0" w:space="0" w:color="auto"/>
                                                        <w:right w:val="none" w:sz="0" w:space="0" w:color="auto"/>
                                                      </w:divBdr>
                                                      <w:divsChild>
                                                        <w:div w:id="181357390">
                                                          <w:marLeft w:val="0"/>
                                                          <w:marRight w:val="0"/>
                                                          <w:marTop w:val="0"/>
                                                          <w:marBottom w:val="0"/>
                                                          <w:divBdr>
                                                            <w:top w:val="single" w:sz="6" w:space="0" w:color="DFE1E5"/>
                                                            <w:left w:val="single" w:sz="6" w:space="0" w:color="DFE1E5"/>
                                                            <w:bottom w:val="single" w:sz="6" w:space="0" w:color="DFE1E5"/>
                                                            <w:right w:val="single" w:sz="6" w:space="0" w:color="DFE1E5"/>
                                                          </w:divBdr>
                                                          <w:divsChild>
                                                            <w:div w:id="2132045672">
                                                              <w:marLeft w:val="0"/>
                                                              <w:marRight w:val="0"/>
                                                              <w:marTop w:val="0"/>
                                                              <w:marBottom w:val="0"/>
                                                              <w:divBdr>
                                                                <w:top w:val="none" w:sz="0" w:space="0" w:color="auto"/>
                                                                <w:left w:val="none" w:sz="0" w:space="0" w:color="auto"/>
                                                                <w:bottom w:val="none" w:sz="0" w:space="0" w:color="auto"/>
                                                                <w:right w:val="none" w:sz="0" w:space="0" w:color="auto"/>
                                                              </w:divBdr>
                                                              <w:divsChild>
                                                                <w:div w:id="4599431">
                                                                  <w:marLeft w:val="0"/>
                                                                  <w:marRight w:val="0"/>
                                                                  <w:marTop w:val="0"/>
                                                                  <w:marBottom w:val="0"/>
                                                                  <w:divBdr>
                                                                    <w:top w:val="none" w:sz="0" w:space="0" w:color="auto"/>
                                                                    <w:left w:val="none" w:sz="0" w:space="0" w:color="auto"/>
                                                                    <w:bottom w:val="none" w:sz="0" w:space="0" w:color="auto"/>
                                                                    <w:right w:val="none" w:sz="0" w:space="0" w:color="auto"/>
                                                                  </w:divBdr>
                                                                  <w:divsChild>
                                                                    <w:div w:id="422261283">
                                                                      <w:marLeft w:val="0"/>
                                                                      <w:marRight w:val="0"/>
                                                                      <w:marTop w:val="0"/>
                                                                      <w:marBottom w:val="0"/>
                                                                      <w:divBdr>
                                                                        <w:top w:val="none" w:sz="0" w:space="0" w:color="auto"/>
                                                                        <w:left w:val="none" w:sz="0" w:space="0" w:color="auto"/>
                                                                        <w:bottom w:val="none" w:sz="0" w:space="0" w:color="auto"/>
                                                                        <w:right w:val="none" w:sz="0" w:space="0" w:color="auto"/>
                                                                      </w:divBdr>
                                                                      <w:divsChild>
                                                                        <w:div w:id="319500212">
                                                                          <w:marLeft w:val="0"/>
                                                                          <w:marRight w:val="0"/>
                                                                          <w:marTop w:val="0"/>
                                                                          <w:marBottom w:val="0"/>
                                                                          <w:divBdr>
                                                                            <w:top w:val="none" w:sz="0" w:space="0" w:color="auto"/>
                                                                            <w:left w:val="none" w:sz="0" w:space="0" w:color="auto"/>
                                                                            <w:bottom w:val="none" w:sz="0" w:space="0" w:color="auto"/>
                                                                            <w:right w:val="none" w:sz="0" w:space="0" w:color="auto"/>
                                                                          </w:divBdr>
                                                                          <w:divsChild>
                                                                            <w:div w:id="1980375633">
                                                                              <w:marLeft w:val="0"/>
                                                                              <w:marRight w:val="0"/>
                                                                              <w:marTop w:val="0"/>
                                                                              <w:marBottom w:val="0"/>
                                                                              <w:divBdr>
                                                                                <w:top w:val="none" w:sz="0" w:space="0" w:color="auto"/>
                                                                                <w:left w:val="none" w:sz="0" w:space="0" w:color="auto"/>
                                                                                <w:bottom w:val="none" w:sz="0" w:space="0" w:color="auto"/>
                                                                                <w:right w:val="none" w:sz="0" w:space="0" w:color="auto"/>
                                                                              </w:divBdr>
                                                                              <w:divsChild>
                                                                                <w:div w:id="1623490332">
                                                                                  <w:marLeft w:val="0"/>
                                                                                  <w:marRight w:val="0"/>
                                                                                  <w:marTop w:val="0"/>
                                                                                  <w:marBottom w:val="0"/>
                                                                                  <w:divBdr>
                                                                                    <w:top w:val="none" w:sz="0" w:space="0" w:color="auto"/>
                                                                                    <w:left w:val="none" w:sz="0" w:space="0" w:color="auto"/>
                                                                                    <w:bottom w:val="none" w:sz="0" w:space="0" w:color="auto"/>
                                                                                    <w:right w:val="none" w:sz="0" w:space="0" w:color="auto"/>
                                                                                  </w:divBdr>
                                                                                  <w:divsChild>
                                                                                    <w:div w:id="7709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1942075">
      <w:bodyDiv w:val="1"/>
      <w:marLeft w:val="0"/>
      <w:marRight w:val="0"/>
      <w:marTop w:val="0"/>
      <w:marBottom w:val="0"/>
      <w:divBdr>
        <w:top w:val="none" w:sz="0" w:space="0" w:color="auto"/>
        <w:left w:val="none" w:sz="0" w:space="0" w:color="auto"/>
        <w:bottom w:val="none" w:sz="0" w:space="0" w:color="auto"/>
        <w:right w:val="none" w:sz="0" w:space="0" w:color="auto"/>
      </w:divBdr>
    </w:div>
    <w:div w:id="863440488">
      <w:bodyDiv w:val="1"/>
      <w:marLeft w:val="0"/>
      <w:marRight w:val="0"/>
      <w:marTop w:val="0"/>
      <w:marBottom w:val="0"/>
      <w:divBdr>
        <w:top w:val="none" w:sz="0" w:space="0" w:color="auto"/>
        <w:left w:val="none" w:sz="0" w:space="0" w:color="auto"/>
        <w:bottom w:val="none" w:sz="0" w:space="0" w:color="auto"/>
        <w:right w:val="none" w:sz="0" w:space="0" w:color="auto"/>
      </w:divBdr>
    </w:div>
    <w:div w:id="891035252">
      <w:bodyDiv w:val="1"/>
      <w:marLeft w:val="0"/>
      <w:marRight w:val="0"/>
      <w:marTop w:val="0"/>
      <w:marBottom w:val="0"/>
      <w:divBdr>
        <w:top w:val="none" w:sz="0" w:space="0" w:color="auto"/>
        <w:left w:val="none" w:sz="0" w:space="0" w:color="auto"/>
        <w:bottom w:val="none" w:sz="0" w:space="0" w:color="auto"/>
        <w:right w:val="none" w:sz="0" w:space="0" w:color="auto"/>
      </w:divBdr>
    </w:div>
    <w:div w:id="897933919">
      <w:bodyDiv w:val="1"/>
      <w:marLeft w:val="0"/>
      <w:marRight w:val="0"/>
      <w:marTop w:val="0"/>
      <w:marBottom w:val="0"/>
      <w:divBdr>
        <w:top w:val="none" w:sz="0" w:space="0" w:color="auto"/>
        <w:left w:val="none" w:sz="0" w:space="0" w:color="auto"/>
        <w:bottom w:val="none" w:sz="0" w:space="0" w:color="auto"/>
        <w:right w:val="none" w:sz="0" w:space="0" w:color="auto"/>
      </w:divBdr>
    </w:div>
    <w:div w:id="902912061">
      <w:bodyDiv w:val="1"/>
      <w:marLeft w:val="0"/>
      <w:marRight w:val="0"/>
      <w:marTop w:val="0"/>
      <w:marBottom w:val="0"/>
      <w:divBdr>
        <w:top w:val="none" w:sz="0" w:space="0" w:color="auto"/>
        <w:left w:val="none" w:sz="0" w:space="0" w:color="auto"/>
        <w:bottom w:val="none" w:sz="0" w:space="0" w:color="auto"/>
        <w:right w:val="none" w:sz="0" w:space="0" w:color="auto"/>
      </w:divBdr>
    </w:div>
    <w:div w:id="908155065">
      <w:bodyDiv w:val="1"/>
      <w:marLeft w:val="0"/>
      <w:marRight w:val="0"/>
      <w:marTop w:val="0"/>
      <w:marBottom w:val="0"/>
      <w:divBdr>
        <w:top w:val="none" w:sz="0" w:space="0" w:color="auto"/>
        <w:left w:val="none" w:sz="0" w:space="0" w:color="auto"/>
        <w:bottom w:val="none" w:sz="0" w:space="0" w:color="auto"/>
        <w:right w:val="none" w:sz="0" w:space="0" w:color="auto"/>
      </w:divBdr>
    </w:div>
    <w:div w:id="910113858">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61230708">
      <w:bodyDiv w:val="1"/>
      <w:marLeft w:val="0"/>
      <w:marRight w:val="0"/>
      <w:marTop w:val="0"/>
      <w:marBottom w:val="0"/>
      <w:divBdr>
        <w:top w:val="none" w:sz="0" w:space="0" w:color="auto"/>
        <w:left w:val="none" w:sz="0" w:space="0" w:color="auto"/>
        <w:bottom w:val="none" w:sz="0" w:space="0" w:color="auto"/>
        <w:right w:val="none" w:sz="0" w:space="0" w:color="auto"/>
      </w:divBdr>
    </w:div>
    <w:div w:id="985283715">
      <w:bodyDiv w:val="1"/>
      <w:marLeft w:val="0"/>
      <w:marRight w:val="0"/>
      <w:marTop w:val="0"/>
      <w:marBottom w:val="0"/>
      <w:divBdr>
        <w:top w:val="none" w:sz="0" w:space="0" w:color="auto"/>
        <w:left w:val="none" w:sz="0" w:space="0" w:color="auto"/>
        <w:bottom w:val="none" w:sz="0" w:space="0" w:color="auto"/>
        <w:right w:val="none" w:sz="0" w:space="0" w:color="auto"/>
      </w:divBdr>
    </w:div>
    <w:div w:id="991064388">
      <w:bodyDiv w:val="1"/>
      <w:marLeft w:val="0"/>
      <w:marRight w:val="0"/>
      <w:marTop w:val="0"/>
      <w:marBottom w:val="0"/>
      <w:divBdr>
        <w:top w:val="none" w:sz="0" w:space="0" w:color="auto"/>
        <w:left w:val="none" w:sz="0" w:space="0" w:color="auto"/>
        <w:bottom w:val="none" w:sz="0" w:space="0" w:color="auto"/>
        <w:right w:val="none" w:sz="0" w:space="0" w:color="auto"/>
      </w:divBdr>
    </w:div>
    <w:div w:id="992175262">
      <w:bodyDiv w:val="1"/>
      <w:marLeft w:val="0"/>
      <w:marRight w:val="0"/>
      <w:marTop w:val="0"/>
      <w:marBottom w:val="0"/>
      <w:divBdr>
        <w:top w:val="none" w:sz="0" w:space="0" w:color="auto"/>
        <w:left w:val="none" w:sz="0" w:space="0" w:color="auto"/>
        <w:bottom w:val="none" w:sz="0" w:space="0" w:color="auto"/>
        <w:right w:val="none" w:sz="0" w:space="0" w:color="auto"/>
      </w:divBdr>
    </w:div>
    <w:div w:id="992873627">
      <w:bodyDiv w:val="1"/>
      <w:marLeft w:val="0"/>
      <w:marRight w:val="0"/>
      <w:marTop w:val="0"/>
      <w:marBottom w:val="0"/>
      <w:divBdr>
        <w:top w:val="none" w:sz="0" w:space="0" w:color="auto"/>
        <w:left w:val="none" w:sz="0" w:space="0" w:color="auto"/>
        <w:bottom w:val="none" w:sz="0" w:space="0" w:color="auto"/>
        <w:right w:val="none" w:sz="0" w:space="0" w:color="auto"/>
      </w:divBdr>
    </w:div>
    <w:div w:id="1078792075">
      <w:bodyDiv w:val="1"/>
      <w:marLeft w:val="0"/>
      <w:marRight w:val="0"/>
      <w:marTop w:val="0"/>
      <w:marBottom w:val="0"/>
      <w:divBdr>
        <w:top w:val="none" w:sz="0" w:space="0" w:color="auto"/>
        <w:left w:val="none" w:sz="0" w:space="0" w:color="auto"/>
        <w:bottom w:val="none" w:sz="0" w:space="0" w:color="auto"/>
        <w:right w:val="none" w:sz="0" w:space="0" w:color="auto"/>
      </w:divBdr>
    </w:div>
    <w:div w:id="1110399523">
      <w:bodyDiv w:val="1"/>
      <w:marLeft w:val="0"/>
      <w:marRight w:val="0"/>
      <w:marTop w:val="0"/>
      <w:marBottom w:val="0"/>
      <w:divBdr>
        <w:top w:val="none" w:sz="0" w:space="0" w:color="auto"/>
        <w:left w:val="none" w:sz="0" w:space="0" w:color="auto"/>
        <w:bottom w:val="none" w:sz="0" w:space="0" w:color="auto"/>
        <w:right w:val="none" w:sz="0" w:space="0" w:color="auto"/>
      </w:divBdr>
    </w:div>
    <w:div w:id="1110585823">
      <w:bodyDiv w:val="1"/>
      <w:marLeft w:val="0"/>
      <w:marRight w:val="0"/>
      <w:marTop w:val="0"/>
      <w:marBottom w:val="0"/>
      <w:divBdr>
        <w:top w:val="none" w:sz="0" w:space="0" w:color="auto"/>
        <w:left w:val="none" w:sz="0" w:space="0" w:color="auto"/>
        <w:bottom w:val="none" w:sz="0" w:space="0" w:color="auto"/>
        <w:right w:val="none" w:sz="0" w:space="0" w:color="auto"/>
      </w:divBdr>
    </w:div>
    <w:div w:id="1150563598">
      <w:bodyDiv w:val="1"/>
      <w:marLeft w:val="0"/>
      <w:marRight w:val="0"/>
      <w:marTop w:val="0"/>
      <w:marBottom w:val="0"/>
      <w:divBdr>
        <w:top w:val="none" w:sz="0" w:space="0" w:color="auto"/>
        <w:left w:val="none" w:sz="0" w:space="0" w:color="auto"/>
        <w:bottom w:val="none" w:sz="0" w:space="0" w:color="auto"/>
        <w:right w:val="none" w:sz="0" w:space="0" w:color="auto"/>
      </w:divBdr>
    </w:div>
    <w:div w:id="1153371096">
      <w:bodyDiv w:val="1"/>
      <w:marLeft w:val="0"/>
      <w:marRight w:val="0"/>
      <w:marTop w:val="0"/>
      <w:marBottom w:val="0"/>
      <w:divBdr>
        <w:top w:val="none" w:sz="0" w:space="0" w:color="auto"/>
        <w:left w:val="none" w:sz="0" w:space="0" w:color="auto"/>
        <w:bottom w:val="none" w:sz="0" w:space="0" w:color="auto"/>
        <w:right w:val="none" w:sz="0" w:space="0" w:color="auto"/>
      </w:divBdr>
    </w:div>
    <w:div w:id="1159036630">
      <w:bodyDiv w:val="1"/>
      <w:marLeft w:val="0"/>
      <w:marRight w:val="0"/>
      <w:marTop w:val="0"/>
      <w:marBottom w:val="0"/>
      <w:divBdr>
        <w:top w:val="none" w:sz="0" w:space="0" w:color="auto"/>
        <w:left w:val="none" w:sz="0" w:space="0" w:color="auto"/>
        <w:bottom w:val="none" w:sz="0" w:space="0" w:color="auto"/>
        <w:right w:val="none" w:sz="0" w:space="0" w:color="auto"/>
      </w:divBdr>
    </w:div>
    <w:div w:id="1175025649">
      <w:bodyDiv w:val="1"/>
      <w:marLeft w:val="0"/>
      <w:marRight w:val="0"/>
      <w:marTop w:val="0"/>
      <w:marBottom w:val="0"/>
      <w:divBdr>
        <w:top w:val="none" w:sz="0" w:space="0" w:color="auto"/>
        <w:left w:val="none" w:sz="0" w:space="0" w:color="auto"/>
        <w:bottom w:val="none" w:sz="0" w:space="0" w:color="auto"/>
        <w:right w:val="none" w:sz="0" w:space="0" w:color="auto"/>
      </w:divBdr>
    </w:div>
    <w:div w:id="1184514609">
      <w:bodyDiv w:val="1"/>
      <w:marLeft w:val="0"/>
      <w:marRight w:val="0"/>
      <w:marTop w:val="0"/>
      <w:marBottom w:val="0"/>
      <w:divBdr>
        <w:top w:val="none" w:sz="0" w:space="0" w:color="auto"/>
        <w:left w:val="none" w:sz="0" w:space="0" w:color="auto"/>
        <w:bottom w:val="none" w:sz="0" w:space="0" w:color="auto"/>
        <w:right w:val="none" w:sz="0" w:space="0" w:color="auto"/>
      </w:divBdr>
    </w:div>
    <w:div w:id="1188980158">
      <w:bodyDiv w:val="1"/>
      <w:marLeft w:val="0"/>
      <w:marRight w:val="0"/>
      <w:marTop w:val="0"/>
      <w:marBottom w:val="0"/>
      <w:divBdr>
        <w:top w:val="none" w:sz="0" w:space="0" w:color="auto"/>
        <w:left w:val="none" w:sz="0" w:space="0" w:color="auto"/>
        <w:bottom w:val="none" w:sz="0" w:space="0" w:color="auto"/>
        <w:right w:val="none" w:sz="0" w:space="0" w:color="auto"/>
      </w:divBdr>
    </w:div>
    <w:div w:id="1215039799">
      <w:bodyDiv w:val="1"/>
      <w:marLeft w:val="0"/>
      <w:marRight w:val="0"/>
      <w:marTop w:val="0"/>
      <w:marBottom w:val="0"/>
      <w:divBdr>
        <w:top w:val="none" w:sz="0" w:space="0" w:color="auto"/>
        <w:left w:val="none" w:sz="0" w:space="0" w:color="auto"/>
        <w:bottom w:val="none" w:sz="0" w:space="0" w:color="auto"/>
        <w:right w:val="none" w:sz="0" w:space="0" w:color="auto"/>
      </w:divBdr>
    </w:div>
    <w:div w:id="1219047158">
      <w:bodyDiv w:val="1"/>
      <w:marLeft w:val="0"/>
      <w:marRight w:val="0"/>
      <w:marTop w:val="0"/>
      <w:marBottom w:val="0"/>
      <w:divBdr>
        <w:top w:val="none" w:sz="0" w:space="0" w:color="auto"/>
        <w:left w:val="none" w:sz="0" w:space="0" w:color="auto"/>
        <w:bottom w:val="none" w:sz="0" w:space="0" w:color="auto"/>
        <w:right w:val="none" w:sz="0" w:space="0" w:color="auto"/>
      </w:divBdr>
      <w:divsChild>
        <w:div w:id="1996953887">
          <w:marLeft w:val="0"/>
          <w:marRight w:val="0"/>
          <w:marTop w:val="0"/>
          <w:marBottom w:val="0"/>
          <w:divBdr>
            <w:top w:val="none" w:sz="0" w:space="0" w:color="auto"/>
            <w:left w:val="none" w:sz="0" w:space="0" w:color="auto"/>
            <w:bottom w:val="none" w:sz="0" w:space="0" w:color="auto"/>
            <w:right w:val="none" w:sz="0" w:space="0" w:color="auto"/>
          </w:divBdr>
          <w:divsChild>
            <w:div w:id="1042098372">
              <w:marLeft w:val="0"/>
              <w:marRight w:val="0"/>
              <w:marTop w:val="0"/>
              <w:marBottom w:val="0"/>
              <w:divBdr>
                <w:top w:val="none" w:sz="0" w:space="0" w:color="auto"/>
                <w:left w:val="none" w:sz="0" w:space="0" w:color="auto"/>
                <w:bottom w:val="none" w:sz="0" w:space="0" w:color="auto"/>
                <w:right w:val="none" w:sz="0" w:space="0" w:color="auto"/>
              </w:divBdr>
              <w:divsChild>
                <w:div w:id="1080566508">
                  <w:marLeft w:val="0"/>
                  <w:marRight w:val="0"/>
                  <w:marTop w:val="0"/>
                  <w:marBottom w:val="0"/>
                  <w:divBdr>
                    <w:top w:val="none" w:sz="0" w:space="0" w:color="auto"/>
                    <w:left w:val="none" w:sz="0" w:space="0" w:color="auto"/>
                    <w:bottom w:val="none" w:sz="0" w:space="0" w:color="auto"/>
                    <w:right w:val="none" w:sz="0" w:space="0" w:color="auto"/>
                  </w:divBdr>
                  <w:divsChild>
                    <w:div w:id="1796172292">
                      <w:marLeft w:val="0"/>
                      <w:marRight w:val="0"/>
                      <w:marTop w:val="0"/>
                      <w:marBottom w:val="0"/>
                      <w:divBdr>
                        <w:top w:val="none" w:sz="0" w:space="0" w:color="auto"/>
                        <w:left w:val="none" w:sz="0" w:space="0" w:color="auto"/>
                        <w:bottom w:val="none" w:sz="0" w:space="0" w:color="auto"/>
                        <w:right w:val="none" w:sz="0" w:space="0" w:color="auto"/>
                      </w:divBdr>
                      <w:divsChild>
                        <w:div w:id="2087678289">
                          <w:marLeft w:val="0"/>
                          <w:marRight w:val="0"/>
                          <w:marTop w:val="0"/>
                          <w:marBottom w:val="0"/>
                          <w:divBdr>
                            <w:top w:val="none" w:sz="0" w:space="0" w:color="auto"/>
                            <w:left w:val="none" w:sz="0" w:space="0" w:color="auto"/>
                            <w:bottom w:val="none" w:sz="0" w:space="0" w:color="auto"/>
                            <w:right w:val="none" w:sz="0" w:space="0" w:color="auto"/>
                          </w:divBdr>
                          <w:divsChild>
                            <w:div w:id="1761877060">
                              <w:marLeft w:val="2700"/>
                              <w:marRight w:val="3735"/>
                              <w:marTop w:val="0"/>
                              <w:marBottom w:val="0"/>
                              <w:divBdr>
                                <w:top w:val="none" w:sz="0" w:space="0" w:color="auto"/>
                                <w:left w:val="none" w:sz="0" w:space="0" w:color="auto"/>
                                <w:bottom w:val="none" w:sz="0" w:space="0" w:color="auto"/>
                                <w:right w:val="none" w:sz="0" w:space="0" w:color="auto"/>
                              </w:divBdr>
                              <w:divsChild>
                                <w:div w:id="45296939">
                                  <w:marLeft w:val="0"/>
                                  <w:marRight w:val="0"/>
                                  <w:marTop w:val="0"/>
                                  <w:marBottom w:val="0"/>
                                  <w:divBdr>
                                    <w:top w:val="none" w:sz="0" w:space="0" w:color="auto"/>
                                    <w:left w:val="none" w:sz="0" w:space="0" w:color="auto"/>
                                    <w:bottom w:val="none" w:sz="0" w:space="0" w:color="auto"/>
                                    <w:right w:val="none" w:sz="0" w:space="0" w:color="auto"/>
                                  </w:divBdr>
                                  <w:divsChild>
                                    <w:div w:id="915675168">
                                      <w:marLeft w:val="0"/>
                                      <w:marRight w:val="0"/>
                                      <w:marTop w:val="0"/>
                                      <w:marBottom w:val="0"/>
                                      <w:divBdr>
                                        <w:top w:val="none" w:sz="0" w:space="0" w:color="auto"/>
                                        <w:left w:val="none" w:sz="0" w:space="0" w:color="auto"/>
                                        <w:bottom w:val="none" w:sz="0" w:space="0" w:color="auto"/>
                                        <w:right w:val="none" w:sz="0" w:space="0" w:color="auto"/>
                                      </w:divBdr>
                                      <w:divsChild>
                                        <w:div w:id="876354657">
                                          <w:marLeft w:val="0"/>
                                          <w:marRight w:val="0"/>
                                          <w:marTop w:val="0"/>
                                          <w:marBottom w:val="0"/>
                                          <w:divBdr>
                                            <w:top w:val="none" w:sz="0" w:space="0" w:color="auto"/>
                                            <w:left w:val="none" w:sz="0" w:space="0" w:color="auto"/>
                                            <w:bottom w:val="none" w:sz="0" w:space="0" w:color="auto"/>
                                            <w:right w:val="none" w:sz="0" w:space="0" w:color="auto"/>
                                          </w:divBdr>
                                          <w:divsChild>
                                            <w:div w:id="779880607">
                                              <w:marLeft w:val="0"/>
                                              <w:marRight w:val="0"/>
                                              <w:marTop w:val="90"/>
                                              <w:marBottom w:val="0"/>
                                              <w:divBdr>
                                                <w:top w:val="none" w:sz="0" w:space="0" w:color="auto"/>
                                                <w:left w:val="none" w:sz="0" w:space="0" w:color="auto"/>
                                                <w:bottom w:val="none" w:sz="0" w:space="0" w:color="auto"/>
                                                <w:right w:val="none" w:sz="0" w:space="0" w:color="auto"/>
                                              </w:divBdr>
                                              <w:divsChild>
                                                <w:div w:id="1551726942">
                                                  <w:marLeft w:val="0"/>
                                                  <w:marRight w:val="0"/>
                                                  <w:marTop w:val="0"/>
                                                  <w:marBottom w:val="420"/>
                                                  <w:divBdr>
                                                    <w:top w:val="none" w:sz="0" w:space="0" w:color="auto"/>
                                                    <w:left w:val="none" w:sz="0" w:space="0" w:color="auto"/>
                                                    <w:bottom w:val="none" w:sz="0" w:space="0" w:color="auto"/>
                                                    <w:right w:val="none" w:sz="0" w:space="0" w:color="auto"/>
                                                  </w:divBdr>
                                                  <w:divsChild>
                                                    <w:div w:id="1173838593">
                                                      <w:marLeft w:val="0"/>
                                                      <w:marRight w:val="0"/>
                                                      <w:marTop w:val="0"/>
                                                      <w:marBottom w:val="0"/>
                                                      <w:divBdr>
                                                        <w:top w:val="none" w:sz="0" w:space="0" w:color="auto"/>
                                                        <w:left w:val="none" w:sz="0" w:space="0" w:color="auto"/>
                                                        <w:bottom w:val="none" w:sz="0" w:space="0" w:color="auto"/>
                                                        <w:right w:val="none" w:sz="0" w:space="0" w:color="auto"/>
                                                      </w:divBdr>
                                                      <w:divsChild>
                                                        <w:div w:id="1316454164">
                                                          <w:marLeft w:val="0"/>
                                                          <w:marRight w:val="0"/>
                                                          <w:marTop w:val="0"/>
                                                          <w:marBottom w:val="0"/>
                                                          <w:divBdr>
                                                            <w:top w:val="single" w:sz="6" w:space="0" w:color="DFE1E5"/>
                                                            <w:left w:val="single" w:sz="6" w:space="0" w:color="DFE1E5"/>
                                                            <w:bottom w:val="single" w:sz="6" w:space="0" w:color="DFE1E5"/>
                                                            <w:right w:val="single" w:sz="6" w:space="0" w:color="DFE1E5"/>
                                                          </w:divBdr>
                                                          <w:divsChild>
                                                            <w:div w:id="1722439381">
                                                              <w:marLeft w:val="0"/>
                                                              <w:marRight w:val="0"/>
                                                              <w:marTop w:val="0"/>
                                                              <w:marBottom w:val="0"/>
                                                              <w:divBdr>
                                                                <w:top w:val="none" w:sz="0" w:space="0" w:color="auto"/>
                                                                <w:left w:val="none" w:sz="0" w:space="0" w:color="auto"/>
                                                                <w:bottom w:val="none" w:sz="0" w:space="0" w:color="auto"/>
                                                                <w:right w:val="none" w:sz="0" w:space="0" w:color="auto"/>
                                                              </w:divBdr>
                                                              <w:divsChild>
                                                                <w:div w:id="786437568">
                                                                  <w:marLeft w:val="0"/>
                                                                  <w:marRight w:val="0"/>
                                                                  <w:marTop w:val="0"/>
                                                                  <w:marBottom w:val="0"/>
                                                                  <w:divBdr>
                                                                    <w:top w:val="none" w:sz="0" w:space="0" w:color="auto"/>
                                                                    <w:left w:val="none" w:sz="0" w:space="0" w:color="auto"/>
                                                                    <w:bottom w:val="none" w:sz="0" w:space="0" w:color="auto"/>
                                                                    <w:right w:val="none" w:sz="0" w:space="0" w:color="auto"/>
                                                                  </w:divBdr>
                                                                  <w:divsChild>
                                                                    <w:div w:id="1589733301">
                                                                      <w:marLeft w:val="0"/>
                                                                      <w:marRight w:val="0"/>
                                                                      <w:marTop w:val="0"/>
                                                                      <w:marBottom w:val="0"/>
                                                                      <w:divBdr>
                                                                        <w:top w:val="none" w:sz="0" w:space="0" w:color="auto"/>
                                                                        <w:left w:val="none" w:sz="0" w:space="0" w:color="auto"/>
                                                                        <w:bottom w:val="none" w:sz="0" w:space="0" w:color="auto"/>
                                                                        <w:right w:val="none" w:sz="0" w:space="0" w:color="auto"/>
                                                                      </w:divBdr>
                                                                      <w:divsChild>
                                                                        <w:div w:id="1033307215">
                                                                          <w:marLeft w:val="0"/>
                                                                          <w:marRight w:val="0"/>
                                                                          <w:marTop w:val="0"/>
                                                                          <w:marBottom w:val="0"/>
                                                                          <w:divBdr>
                                                                            <w:top w:val="none" w:sz="0" w:space="0" w:color="auto"/>
                                                                            <w:left w:val="none" w:sz="0" w:space="0" w:color="auto"/>
                                                                            <w:bottom w:val="none" w:sz="0" w:space="0" w:color="auto"/>
                                                                            <w:right w:val="none" w:sz="0" w:space="0" w:color="auto"/>
                                                                          </w:divBdr>
                                                                          <w:divsChild>
                                                                            <w:div w:id="1771969029">
                                                                              <w:marLeft w:val="0"/>
                                                                              <w:marRight w:val="0"/>
                                                                              <w:marTop w:val="0"/>
                                                                              <w:marBottom w:val="0"/>
                                                                              <w:divBdr>
                                                                                <w:top w:val="none" w:sz="0" w:space="0" w:color="auto"/>
                                                                                <w:left w:val="none" w:sz="0" w:space="0" w:color="auto"/>
                                                                                <w:bottom w:val="none" w:sz="0" w:space="0" w:color="auto"/>
                                                                                <w:right w:val="none" w:sz="0" w:space="0" w:color="auto"/>
                                                                              </w:divBdr>
                                                                              <w:divsChild>
                                                                                <w:div w:id="1436827618">
                                                                                  <w:marLeft w:val="0"/>
                                                                                  <w:marRight w:val="0"/>
                                                                                  <w:marTop w:val="0"/>
                                                                                  <w:marBottom w:val="0"/>
                                                                                  <w:divBdr>
                                                                                    <w:top w:val="none" w:sz="0" w:space="0" w:color="auto"/>
                                                                                    <w:left w:val="none" w:sz="0" w:space="0" w:color="auto"/>
                                                                                    <w:bottom w:val="none" w:sz="0" w:space="0" w:color="auto"/>
                                                                                    <w:right w:val="none" w:sz="0" w:space="0" w:color="auto"/>
                                                                                  </w:divBdr>
                                                                                  <w:divsChild>
                                                                                    <w:div w:id="123890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2304007">
      <w:bodyDiv w:val="1"/>
      <w:marLeft w:val="0"/>
      <w:marRight w:val="0"/>
      <w:marTop w:val="0"/>
      <w:marBottom w:val="0"/>
      <w:divBdr>
        <w:top w:val="none" w:sz="0" w:space="0" w:color="auto"/>
        <w:left w:val="none" w:sz="0" w:space="0" w:color="auto"/>
        <w:bottom w:val="none" w:sz="0" w:space="0" w:color="auto"/>
        <w:right w:val="none" w:sz="0" w:space="0" w:color="auto"/>
      </w:divBdr>
    </w:div>
    <w:div w:id="1403218569">
      <w:bodyDiv w:val="1"/>
      <w:marLeft w:val="0"/>
      <w:marRight w:val="0"/>
      <w:marTop w:val="0"/>
      <w:marBottom w:val="0"/>
      <w:divBdr>
        <w:top w:val="none" w:sz="0" w:space="0" w:color="auto"/>
        <w:left w:val="none" w:sz="0" w:space="0" w:color="auto"/>
        <w:bottom w:val="none" w:sz="0" w:space="0" w:color="auto"/>
        <w:right w:val="none" w:sz="0" w:space="0" w:color="auto"/>
      </w:divBdr>
    </w:div>
    <w:div w:id="1406294242">
      <w:bodyDiv w:val="1"/>
      <w:marLeft w:val="0"/>
      <w:marRight w:val="0"/>
      <w:marTop w:val="0"/>
      <w:marBottom w:val="0"/>
      <w:divBdr>
        <w:top w:val="none" w:sz="0" w:space="0" w:color="auto"/>
        <w:left w:val="none" w:sz="0" w:space="0" w:color="auto"/>
        <w:bottom w:val="none" w:sz="0" w:space="0" w:color="auto"/>
        <w:right w:val="none" w:sz="0" w:space="0" w:color="auto"/>
      </w:divBdr>
    </w:div>
    <w:div w:id="1421753665">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599829270">
      <w:bodyDiv w:val="1"/>
      <w:marLeft w:val="0"/>
      <w:marRight w:val="0"/>
      <w:marTop w:val="0"/>
      <w:marBottom w:val="0"/>
      <w:divBdr>
        <w:top w:val="none" w:sz="0" w:space="0" w:color="auto"/>
        <w:left w:val="none" w:sz="0" w:space="0" w:color="auto"/>
        <w:bottom w:val="none" w:sz="0" w:space="0" w:color="auto"/>
        <w:right w:val="none" w:sz="0" w:space="0" w:color="auto"/>
      </w:divBdr>
    </w:div>
    <w:div w:id="1616062232">
      <w:bodyDiv w:val="1"/>
      <w:marLeft w:val="0"/>
      <w:marRight w:val="0"/>
      <w:marTop w:val="0"/>
      <w:marBottom w:val="0"/>
      <w:divBdr>
        <w:top w:val="none" w:sz="0" w:space="0" w:color="auto"/>
        <w:left w:val="none" w:sz="0" w:space="0" w:color="auto"/>
        <w:bottom w:val="none" w:sz="0" w:space="0" w:color="auto"/>
        <w:right w:val="none" w:sz="0" w:space="0" w:color="auto"/>
      </w:divBdr>
    </w:div>
    <w:div w:id="1651054143">
      <w:bodyDiv w:val="1"/>
      <w:marLeft w:val="0"/>
      <w:marRight w:val="0"/>
      <w:marTop w:val="0"/>
      <w:marBottom w:val="0"/>
      <w:divBdr>
        <w:top w:val="none" w:sz="0" w:space="0" w:color="auto"/>
        <w:left w:val="none" w:sz="0" w:space="0" w:color="auto"/>
        <w:bottom w:val="none" w:sz="0" w:space="0" w:color="auto"/>
        <w:right w:val="none" w:sz="0" w:space="0" w:color="auto"/>
      </w:divBdr>
    </w:div>
    <w:div w:id="1748382560">
      <w:bodyDiv w:val="1"/>
      <w:marLeft w:val="0"/>
      <w:marRight w:val="0"/>
      <w:marTop w:val="0"/>
      <w:marBottom w:val="0"/>
      <w:divBdr>
        <w:top w:val="none" w:sz="0" w:space="0" w:color="auto"/>
        <w:left w:val="none" w:sz="0" w:space="0" w:color="auto"/>
        <w:bottom w:val="none" w:sz="0" w:space="0" w:color="auto"/>
        <w:right w:val="none" w:sz="0" w:space="0" w:color="auto"/>
      </w:divBdr>
    </w:div>
    <w:div w:id="1750344744">
      <w:bodyDiv w:val="1"/>
      <w:marLeft w:val="0"/>
      <w:marRight w:val="0"/>
      <w:marTop w:val="0"/>
      <w:marBottom w:val="0"/>
      <w:divBdr>
        <w:top w:val="none" w:sz="0" w:space="0" w:color="auto"/>
        <w:left w:val="none" w:sz="0" w:space="0" w:color="auto"/>
        <w:bottom w:val="none" w:sz="0" w:space="0" w:color="auto"/>
        <w:right w:val="none" w:sz="0" w:space="0" w:color="auto"/>
      </w:divBdr>
    </w:div>
    <w:div w:id="1752772460">
      <w:bodyDiv w:val="1"/>
      <w:marLeft w:val="0"/>
      <w:marRight w:val="0"/>
      <w:marTop w:val="0"/>
      <w:marBottom w:val="0"/>
      <w:divBdr>
        <w:top w:val="none" w:sz="0" w:space="0" w:color="auto"/>
        <w:left w:val="none" w:sz="0" w:space="0" w:color="auto"/>
        <w:bottom w:val="none" w:sz="0" w:space="0" w:color="auto"/>
        <w:right w:val="none" w:sz="0" w:space="0" w:color="auto"/>
      </w:divBdr>
    </w:div>
    <w:div w:id="1761175324">
      <w:bodyDiv w:val="1"/>
      <w:marLeft w:val="0"/>
      <w:marRight w:val="0"/>
      <w:marTop w:val="0"/>
      <w:marBottom w:val="0"/>
      <w:divBdr>
        <w:top w:val="none" w:sz="0" w:space="0" w:color="auto"/>
        <w:left w:val="none" w:sz="0" w:space="0" w:color="auto"/>
        <w:bottom w:val="none" w:sz="0" w:space="0" w:color="auto"/>
        <w:right w:val="none" w:sz="0" w:space="0" w:color="auto"/>
      </w:divBdr>
    </w:div>
    <w:div w:id="1763642183">
      <w:bodyDiv w:val="1"/>
      <w:marLeft w:val="0"/>
      <w:marRight w:val="0"/>
      <w:marTop w:val="0"/>
      <w:marBottom w:val="0"/>
      <w:divBdr>
        <w:top w:val="none" w:sz="0" w:space="0" w:color="auto"/>
        <w:left w:val="none" w:sz="0" w:space="0" w:color="auto"/>
        <w:bottom w:val="none" w:sz="0" w:space="0" w:color="auto"/>
        <w:right w:val="none" w:sz="0" w:space="0" w:color="auto"/>
      </w:divBdr>
    </w:div>
    <w:div w:id="1776708410">
      <w:bodyDiv w:val="1"/>
      <w:marLeft w:val="0"/>
      <w:marRight w:val="0"/>
      <w:marTop w:val="0"/>
      <w:marBottom w:val="0"/>
      <w:divBdr>
        <w:top w:val="none" w:sz="0" w:space="0" w:color="auto"/>
        <w:left w:val="none" w:sz="0" w:space="0" w:color="auto"/>
        <w:bottom w:val="none" w:sz="0" w:space="0" w:color="auto"/>
        <w:right w:val="none" w:sz="0" w:space="0" w:color="auto"/>
      </w:divBdr>
    </w:div>
    <w:div w:id="1793089019">
      <w:bodyDiv w:val="1"/>
      <w:marLeft w:val="0"/>
      <w:marRight w:val="0"/>
      <w:marTop w:val="0"/>
      <w:marBottom w:val="0"/>
      <w:divBdr>
        <w:top w:val="none" w:sz="0" w:space="0" w:color="auto"/>
        <w:left w:val="none" w:sz="0" w:space="0" w:color="auto"/>
        <w:bottom w:val="none" w:sz="0" w:space="0" w:color="auto"/>
        <w:right w:val="none" w:sz="0" w:space="0" w:color="auto"/>
      </w:divBdr>
    </w:div>
    <w:div w:id="1807157277">
      <w:bodyDiv w:val="1"/>
      <w:marLeft w:val="0"/>
      <w:marRight w:val="0"/>
      <w:marTop w:val="0"/>
      <w:marBottom w:val="0"/>
      <w:divBdr>
        <w:top w:val="none" w:sz="0" w:space="0" w:color="auto"/>
        <w:left w:val="none" w:sz="0" w:space="0" w:color="auto"/>
        <w:bottom w:val="none" w:sz="0" w:space="0" w:color="auto"/>
        <w:right w:val="none" w:sz="0" w:space="0" w:color="auto"/>
      </w:divBdr>
    </w:div>
    <w:div w:id="1810202385">
      <w:bodyDiv w:val="1"/>
      <w:marLeft w:val="0"/>
      <w:marRight w:val="0"/>
      <w:marTop w:val="0"/>
      <w:marBottom w:val="0"/>
      <w:divBdr>
        <w:top w:val="none" w:sz="0" w:space="0" w:color="auto"/>
        <w:left w:val="none" w:sz="0" w:space="0" w:color="auto"/>
        <w:bottom w:val="none" w:sz="0" w:space="0" w:color="auto"/>
        <w:right w:val="none" w:sz="0" w:space="0" w:color="auto"/>
      </w:divBdr>
    </w:div>
    <w:div w:id="1813711797">
      <w:bodyDiv w:val="1"/>
      <w:marLeft w:val="0"/>
      <w:marRight w:val="0"/>
      <w:marTop w:val="0"/>
      <w:marBottom w:val="0"/>
      <w:divBdr>
        <w:top w:val="none" w:sz="0" w:space="0" w:color="auto"/>
        <w:left w:val="none" w:sz="0" w:space="0" w:color="auto"/>
        <w:bottom w:val="none" w:sz="0" w:space="0" w:color="auto"/>
        <w:right w:val="none" w:sz="0" w:space="0" w:color="auto"/>
      </w:divBdr>
    </w:div>
    <w:div w:id="1891725243">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13814872">
      <w:bodyDiv w:val="1"/>
      <w:marLeft w:val="0"/>
      <w:marRight w:val="0"/>
      <w:marTop w:val="0"/>
      <w:marBottom w:val="0"/>
      <w:divBdr>
        <w:top w:val="none" w:sz="0" w:space="0" w:color="auto"/>
        <w:left w:val="none" w:sz="0" w:space="0" w:color="auto"/>
        <w:bottom w:val="none" w:sz="0" w:space="0" w:color="auto"/>
        <w:right w:val="none" w:sz="0" w:space="0" w:color="auto"/>
      </w:divBdr>
    </w:div>
    <w:div w:id="1925340101">
      <w:bodyDiv w:val="1"/>
      <w:marLeft w:val="0"/>
      <w:marRight w:val="0"/>
      <w:marTop w:val="0"/>
      <w:marBottom w:val="0"/>
      <w:divBdr>
        <w:top w:val="none" w:sz="0" w:space="0" w:color="auto"/>
        <w:left w:val="none" w:sz="0" w:space="0" w:color="auto"/>
        <w:bottom w:val="none" w:sz="0" w:space="0" w:color="auto"/>
        <w:right w:val="none" w:sz="0" w:space="0" w:color="auto"/>
      </w:divBdr>
    </w:div>
    <w:div w:id="1956478968">
      <w:bodyDiv w:val="1"/>
      <w:marLeft w:val="0"/>
      <w:marRight w:val="0"/>
      <w:marTop w:val="0"/>
      <w:marBottom w:val="0"/>
      <w:divBdr>
        <w:top w:val="none" w:sz="0" w:space="0" w:color="auto"/>
        <w:left w:val="none" w:sz="0" w:space="0" w:color="auto"/>
        <w:bottom w:val="none" w:sz="0" w:space="0" w:color="auto"/>
        <w:right w:val="none" w:sz="0" w:space="0" w:color="auto"/>
      </w:divBdr>
    </w:div>
    <w:div w:id="1997803097">
      <w:bodyDiv w:val="1"/>
      <w:marLeft w:val="0"/>
      <w:marRight w:val="0"/>
      <w:marTop w:val="0"/>
      <w:marBottom w:val="0"/>
      <w:divBdr>
        <w:top w:val="none" w:sz="0" w:space="0" w:color="auto"/>
        <w:left w:val="none" w:sz="0" w:space="0" w:color="auto"/>
        <w:bottom w:val="none" w:sz="0" w:space="0" w:color="auto"/>
        <w:right w:val="none" w:sz="0" w:space="0" w:color="auto"/>
      </w:divBdr>
    </w:div>
    <w:div w:id="2029519694">
      <w:bodyDiv w:val="1"/>
      <w:marLeft w:val="0"/>
      <w:marRight w:val="0"/>
      <w:marTop w:val="0"/>
      <w:marBottom w:val="0"/>
      <w:divBdr>
        <w:top w:val="none" w:sz="0" w:space="0" w:color="auto"/>
        <w:left w:val="none" w:sz="0" w:space="0" w:color="auto"/>
        <w:bottom w:val="none" w:sz="0" w:space="0" w:color="auto"/>
        <w:right w:val="none" w:sz="0" w:space="0" w:color="auto"/>
      </w:divBdr>
    </w:div>
    <w:div w:id="2048679256">
      <w:bodyDiv w:val="1"/>
      <w:marLeft w:val="0"/>
      <w:marRight w:val="0"/>
      <w:marTop w:val="0"/>
      <w:marBottom w:val="0"/>
      <w:divBdr>
        <w:top w:val="none" w:sz="0" w:space="0" w:color="auto"/>
        <w:left w:val="none" w:sz="0" w:space="0" w:color="auto"/>
        <w:bottom w:val="none" w:sz="0" w:space="0" w:color="auto"/>
        <w:right w:val="none" w:sz="0" w:space="0" w:color="auto"/>
      </w:divBdr>
    </w:div>
    <w:div w:id="2077313468">
      <w:bodyDiv w:val="1"/>
      <w:marLeft w:val="0"/>
      <w:marRight w:val="0"/>
      <w:marTop w:val="0"/>
      <w:marBottom w:val="0"/>
      <w:divBdr>
        <w:top w:val="none" w:sz="0" w:space="0" w:color="auto"/>
        <w:left w:val="none" w:sz="0" w:space="0" w:color="auto"/>
        <w:bottom w:val="none" w:sz="0" w:space="0" w:color="auto"/>
        <w:right w:val="none" w:sz="0" w:space="0" w:color="auto"/>
      </w:divBdr>
    </w:div>
    <w:div w:id="2085297551">
      <w:bodyDiv w:val="1"/>
      <w:marLeft w:val="0"/>
      <w:marRight w:val="0"/>
      <w:marTop w:val="0"/>
      <w:marBottom w:val="0"/>
      <w:divBdr>
        <w:top w:val="none" w:sz="0" w:space="0" w:color="auto"/>
        <w:left w:val="none" w:sz="0" w:space="0" w:color="auto"/>
        <w:bottom w:val="none" w:sz="0" w:space="0" w:color="auto"/>
        <w:right w:val="none" w:sz="0" w:space="0" w:color="auto"/>
      </w:divBdr>
    </w:div>
    <w:div w:id="2087454648">
      <w:bodyDiv w:val="1"/>
      <w:marLeft w:val="0"/>
      <w:marRight w:val="0"/>
      <w:marTop w:val="0"/>
      <w:marBottom w:val="0"/>
      <w:divBdr>
        <w:top w:val="none" w:sz="0" w:space="0" w:color="auto"/>
        <w:left w:val="none" w:sz="0" w:space="0" w:color="auto"/>
        <w:bottom w:val="none" w:sz="0" w:space="0" w:color="auto"/>
        <w:right w:val="none" w:sz="0" w:space="0" w:color="auto"/>
      </w:divBdr>
    </w:div>
    <w:div w:id="21375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9111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7BFB-0BD0-447E-9180-2086FFC55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6412</Words>
  <Characters>36554</Characters>
  <Application>Microsoft Office Word</Application>
  <DocSecurity>0</DocSecurity>
  <Lines>304</Lines>
  <Paragraphs>85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정재훈/선임연구원/미래기술센터 C&amp;M표준(연)5G무선통신표준Task(jhoon.chung@lge.com)</cp:lastModifiedBy>
  <cp:revision>3</cp:revision>
  <dcterms:created xsi:type="dcterms:W3CDTF">2022-02-14T06:11:00Z</dcterms:created>
  <dcterms:modified xsi:type="dcterms:W3CDTF">2022-02-14T06:15:00Z</dcterms:modified>
</cp:coreProperties>
</file>